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D278EF" w:rsidRPr="00D64356" w:rsidRDefault="00D278EF" w:rsidP="00D278EF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 w:rsidR="009F00B8"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D278EF" w:rsidRPr="00D64356" w:rsidRDefault="00D278EF" w:rsidP="00D278EF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 w:rsidR="00061630" w:rsidRPr="00061630">
              <w:rPr>
                <w:rFonts w:ascii="Arial" w:hAnsi="Arial"/>
                <w:b/>
                <w:sz w:val="20"/>
                <w:szCs w:val="20"/>
              </w:rPr>
              <w:t>52</w:t>
            </w:r>
          </w:p>
          <w:p w:rsidR="007A33C2" w:rsidRPr="00D64356" w:rsidRDefault="007A33C2" w:rsidP="007A33C2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="00061630" w:rsidRPr="00061630"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D278EF" w:rsidRPr="00D64356" w:rsidRDefault="00D278EF" w:rsidP="00D278EF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 w:rsidRPr="006D63F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D63F5" w:rsidRPr="006D63F5">
              <w:rPr>
                <w:rFonts w:ascii="Arial" w:hAnsi="Arial"/>
                <w:b/>
                <w:sz w:val="20"/>
                <w:szCs w:val="20"/>
              </w:rPr>
              <w:t>2</w:t>
            </w:r>
          </w:p>
          <w:p w:rsidR="00D278EF" w:rsidRDefault="00D278EF" w:rsidP="00D278EF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 w:rsidRPr="006D63F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D63F5" w:rsidRPr="006D63F5">
              <w:rPr>
                <w:rFonts w:ascii="Arial" w:hAnsi="Arial"/>
                <w:b/>
                <w:sz w:val="20"/>
                <w:szCs w:val="20"/>
              </w:rPr>
              <w:t>4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B94C70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 février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295C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702812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98A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702812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88970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B94C70">
              <w:rPr>
                <w:b/>
                <w:sz w:val="20"/>
              </w:rPr>
              <w:t>24 Févr</w:t>
            </w:r>
            <w:r w:rsidR="00295C6E">
              <w:rPr>
                <w:b/>
                <w:sz w:val="20"/>
              </w:rPr>
              <w:t>ier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B94C70">
              <w:t>24 février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</w:t>
            </w:r>
            <w:r w:rsidR="00B94C70">
              <w:t xml:space="preserve">en salle des mariages de l’Hôtel de Ville de Vire, lieu habituel choisi pour la tenue de ces séances, sous la présidence de </w:t>
            </w:r>
            <w:r w:rsidR="00B94C70">
              <w:br/>
              <w:t>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B94C70">
              <w:t>18 février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B94C70">
              <w:t>18 février</w:t>
            </w:r>
            <w:r w:rsidR="00295C6E">
              <w:t xml:space="preserve">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512011" w:rsidP="00391FB4">
            <w:pPr>
              <w:pStyle w:val="Corpsdetexte2"/>
              <w:ind w:left="72" w:right="214"/>
            </w:pPr>
            <w:r>
              <w:rPr>
                <w:rFonts w:cs="Arial"/>
              </w:rPr>
              <w:t>M</w:t>
            </w:r>
            <w:r w:rsidR="006D63F5">
              <w:rPr>
                <w:rFonts w:cs="Arial"/>
              </w:rPr>
              <w:t xml:space="preserve">. Corentin GOETHALS </w:t>
            </w:r>
            <w:r>
              <w:rPr>
                <w:rFonts w:cs="Arial"/>
              </w:rPr>
              <w:t xml:space="preserve">a été </w:t>
            </w:r>
            <w:r w:rsidRPr="002C3542">
              <w:rPr>
                <w:rFonts w:cs="Arial"/>
              </w:rPr>
              <w:t>nommé</w:t>
            </w:r>
            <w:r w:rsidR="00257E59">
              <w:rPr>
                <w:rFonts w:cs="Arial"/>
              </w:rPr>
              <w:t xml:space="preserve">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</w:t>
            </w:r>
            <w:r w:rsidR="00391FB4">
              <w:rPr>
                <w:rFonts w:cs="Arial"/>
              </w:rPr>
              <w:t xml:space="preserve">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755CA53EB0D549FFAC1A01AA5BC4FA7F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FE5D43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7 - Finances Locales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755CA53EB0D549FFAC1A01AA5BC4FA7F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FE5D43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7.1 - Décisions budgétaires</w:t>
                </w:r>
              </w:p>
            </w:sdtContent>
          </w:sdt>
          <w:p w:rsidR="00D278EF" w:rsidRPr="003346E0" w:rsidRDefault="00D278EF" w:rsidP="00727EF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27EF8" w:rsidRPr="00E41260" w:rsidRDefault="0019330A" w:rsidP="007028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702812" w:rsidRPr="00702812">
              <w:rPr>
                <w:rFonts w:ascii="Arial" w:hAnsi="Arial" w:cs="Arial"/>
                <w:b/>
                <w:sz w:val="20"/>
                <w:szCs w:val="20"/>
              </w:rPr>
              <w:t>Débat d’Orientations Budgétaires (DOB) 2022</w:t>
            </w:r>
          </w:p>
        </w:tc>
      </w:tr>
    </w:tbl>
    <w:p w:rsidR="008A73DB" w:rsidRPr="001C3DF2" w:rsidRDefault="008A73DB" w:rsidP="008A73DB">
      <w:pPr>
        <w:ind w:right="-851"/>
        <w:jc w:val="both"/>
        <w:rPr>
          <w:rFonts w:ascii="Arial" w:hAnsi="Arial" w:cs="Arial"/>
          <w:sz w:val="12"/>
          <w:szCs w:val="12"/>
        </w:rPr>
      </w:pPr>
    </w:p>
    <w:tbl>
      <w:tblPr>
        <w:tblW w:w="100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901"/>
        <w:gridCol w:w="2040"/>
        <w:gridCol w:w="2260"/>
        <w:gridCol w:w="1120"/>
        <w:gridCol w:w="880"/>
      </w:tblGrid>
      <w:tr w:rsidR="008A73DB" w:rsidTr="00DA7A91">
        <w:trPr>
          <w:trHeight w:val="192"/>
        </w:trPr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8A73DB" w:rsidTr="00DA7A91">
        <w:trPr>
          <w:trHeight w:val="1632"/>
        </w:trPr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73DB" w:rsidTr="00DA7A91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</w:tr>
      <w:tr w:rsidR="008A73DB" w:rsidTr="00DA7A91">
        <w:trPr>
          <w:trHeight w:val="109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8A73DB" w:rsidTr="00DA7A91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8A73DB" w:rsidTr="00DA7A91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ind w:hanging="39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</w:tr>
      <w:tr w:rsidR="008A73DB" w:rsidTr="00DA7A91">
        <w:trPr>
          <w:trHeight w:val="165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8A73DB" w:rsidTr="00DA7A91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</w:tr>
      <w:tr w:rsidR="008A73DB" w:rsidTr="00DA7A91">
        <w:trPr>
          <w:trHeight w:val="190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8A73DB" w:rsidTr="00DA7A91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A73DB" w:rsidRDefault="008A73DB" w:rsidP="008A73DB">
      <w:r>
        <w:br w:type="page"/>
      </w:r>
    </w:p>
    <w:tbl>
      <w:tblPr>
        <w:tblW w:w="100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901"/>
        <w:gridCol w:w="2040"/>
        <w:gridCol w:w="2260"/>
        <w:gridCol w:w="1120"/>
        <w:gridCol w:w="880"/>
      </w:tblGrid>
      <w:tr w:rsidR="008A73DB" w:rsidTr="00DA7A91">
        <w:trPr>
          <w:trHeight w:val="192"/>
        </w:trPr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8A73DB" w:rsidTr="00DA7A91">
        <w:trPr>
          <w:trHeight w:val="1632"/>
        </w:trPr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73DB" w:rsidTr="00DA7A91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</w:tr>
      <w:tr w:rsidR="008A73DB" w:rsidTr="00DA7A91">
        <w:trPr>
          <w:trHeight w:val="195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</w:tr>
      <w:tr w:rsidR="008A73DB" w:rsidTr="00DA7A91">
        <w:trPr>
          <w:trHeight w:val="234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</w:tr>
      <w:tr w:rsidR="008A73DB" w:rsidTr="00DA7A91">
        <w:trPr>
          <w:trHeight w:val="216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</w:tr>
      <w:tr w:rsidR="008A73DB" w:rsidTr="00DA7A91">
        <w:trPr>
          <w:trHeight w:val="240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</w:tr>
      <w:tr w:rsidR="008A73DB" w:rsidTr="00DA7A91">
        <w:trPr>
          <w:trHeight w:val="221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8A73DB" w:rsidTr="00DA7A91">
        <w:trPr>
          <w:trHeight w:val="278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Pr="00973A6C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973A6C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Jacques FAUTRARD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</w:tr>
      <w:tr w:rsidR="008A73DB" w:rsidTr="00DA7A91">
        <w:trPr>
          <w:trHeight w:val="178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</w:tr>
      <w:tr w:rsidR="008A73DB" w:rsidTr="00DA7A91">
        <w:trPr>
          <w:trHeight w:val="60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</w:tr>
      <w:tr w:rsidR="008A73DB" w:rsidTr="00DA7A91">
        <w:trPr>
          <w:trHeight w:val="197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8A73DB" w:rsidTr="00DA7A91">
        <w:trPr>
          <w:trHeight w:val="324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</w:tr>
      <w:tr w:rsidR="008A73DB" w:rsidTr="00DA7A91">
        <w:trPr>
          <w:trHeight w:val="158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</w:tr>
      <w:tr w:rsidR="008A73DB" w:rsidTr="00DA7A91">
        <w:trPr>
          <w:trHeight w:val="195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</w:tr>
      <w:tr w:rsidR="008A73DB" w:rsidTr="00DA7A91">
        <w:trPr>
          <w:trHeight w:val="206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</w:tr>
      <w:tr w:rsidR="008A73DB" w:rsidTr="00DA7A91">
        <w:trPr>
          <w:trHeight w:val="74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8A73DB" w:rsidRDefault="008A73DB" w:rsidP="00DA7A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Marc GUILLAUMIN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8A73DB" w:rsidTr="00DA7A91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</w:tr>
    </w:tbl>
    <w:p w:rsidR="008A73DB" w:rsidRDefault="008A73DB" w:rsidP="008A73DB">
      <w:r>
        <w:br w:type="page"/>
      </w:r>
    </w:p>
    <w:tbl>
      <w:tblPr>
        <w:tblW w:w="100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901"/>
        <w:gridCol w:w="2040"/>
        <w:gridCol w:w="2260"/>
        <w:gridCol w:w="1120"/>
        <w:gridCol w:w="880"/>
      </w:tblGrid>
      <w:tr w:rsidR="008A73DB" w:rsidTr="00DA7A91">
        <w:trPr>
          <w:trHeight w:val="192"/>
        </w:trPr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8A73DB" w:rsidTr="00DA7A91">
        <w:trPr>
          <w:trHeight w:val="1632"/>
        </w:trPr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73DB" w:rsidTr="00DA7A91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</w:tr>
      <w:tr w:rsidR="008A73DB" w:rsidTr="00DA7A91">
        <w:trPr>
          <w:trHeight w:val="108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Frédéric BROGNIART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Caroline CHANU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8A73DB" w:rsidTr="00DA7A91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</w:tr>
      <w:tr w:rsidR="008A73DB" w:rsidTr="00DA7A91">
        <w:trPr>
          <w:trHeight w:val="60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73DB" w:rsidTr="00DA7A91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DB" w:rsidRDefault="008A73DB" w:rsidP="00DA7A91">
            <w:pPr>
              <w:rPr>
                <w:sz w:val="20"/>
                <w:szCs w:val="20"/>
              </w:rPr>
            </w:pPr>
          </w:p>
        </w:tc>
      </w:tr>
      <w:tr w:rsidR="008A73DB" w:rsidTr="00DA7A91">
        <w:trPr>
          <w:trHeight w:val="191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A73DB" w:rsidTr="00DA7A91">
        <w:trPr>
          <w:trHeight w:val="204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8A73DB" w:rsidTr="00DA7A91">
        <w:trPr>
          <w:trHeight w:val="249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8A73DB" w:rsidTr="00DA7A91">
        <w:trPr>
          <w:trHeight w:val="1821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V de l'article 10 de la Loi n°2021-1465 du 10 novembre 2021)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8A73DB" w:rsidTr="00DA7A91">
        <w:trPr>
          <w:trHeight w:val="210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73DB" w:rsidRDefault="008A73DB" w:rsidP="00DA7A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</w:tbl>
    <w:p w:rsidR="008A73DB" w:rsidRDefault="008A73DB" w:rsidP="008A73DB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CC41F7" w:rsidRPr="00F60A16" w:rsidRDefault="00DE4E67" w:rsidP="00CC41F7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D5C41602D4AE481E87D74B773BB261CB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CC41F7">
            <w:rPr>
              <w:rFonts w:ascii="Arial" w:hAnsi="Arial" w:cs="Arial"/>
              <w:b/>
              <w:sz w:val="20"/>
            </w:rPr>
            <w:t>Mme Annie ROSSI</w:t>
          </w:r>
        </w:sdtContent>
      </w:sdt>
      <w:r w:rsidR="00CC41F7">
        <w:rPr>
          <w:rFonts w:ascii="Arial" w:hAnsi="Arial" w:cs="Arial"/>
          <w:b/>
          <w:sz w:val="20"/>
        </w:rPr>
        <w:t xml:space="preserve"> </w:t>
      </w:r>
      <w:r w:rsidR="00CC41F7" w:rsidRPr="00F60A16">
        <w:rPr>
          <w:rFonts w:ascii="Arial" w:hAnsi="Arial" w:cs="Arial"/>
          <w:b/>
          <w:sz w:val="20"/>
        </w:rPr>
        <w:t>donne lecture du rapport suivant :</w:t>
      </w:r>
    </w:p>
    <w:p w:rsidR="00CC41F7" w:rsidRPr="003346E0" w:rsidRDefault="00CC41F7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Pr="00FE5D43" w:rsidRDefault="00014AE9" w:rsidP="001B0BDC">
      <w:pPr>
        <w:ind w:right="-290"/>
        <w:jc w:val="both"/>
        <w:rPr>
          <w:rFonts w:ascii="Arial" w:hAnsi="Arial" w:cs="Arial"/>
          <w:sz w:val="14"/>
          <w:szCs w:val="14"/>
        </w:rPr>
      </w:pPr>
    </w:p>
    <w:p w:rsidR="004718D5" w:rsidRPr="002B4D6D" w:rsidRDefault="004718D5" w:rsidP="004718D5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2B4D6D">
        <w:rPr>
          <w:rFonts w:ascii="Arial" w:hAnsi="Arial" w:cs="Arial"/>
          <w:sz w:val="20"/>
          <w:szCs w:val="20"/>
        </w:rPr>
        <w:t>Suivant l</w:t>
      </w:r>
      <w:r>
        <w:rPr>
          <w:rFonts w:ascii="Arial" w:hAnsi="Arial" w:cs="Arial"/>
          <w:sz w:val="20"/>
          <w:szCs w:val="20"/>
        </w:rPr>
        <w:t>a présentation faite au Bureau c</w:t>
      </w:r>
      <w:r w:rsidRPr="002B4D6D">
        <w:rPr>
          <w:rFonts w:ascii="Arial" w:hAnsi="Arial" w:cs="Arial"/>
          <w:sz w:val="20"/>
          <w:szCs w:val="20"/>
        </w:rPr>
        <w:t xml:space="preserve">ommunautaire réuni le </w:t>
      </w:r>
      <w:r>
        <w:rPr>
          <w:rFonts w:ascii="Arial" w:hAnsi="Arial" w:cs="Arial"/>
          <w:sz w:val="20"/>
          <w:szCs w:val="20"/>
        </w:rPr>
        <w:t>7 février 2022</w:t>
      </w:r>
      <w:r w:rsidRPr="002B4D6D">
        <w:rPr>
          <w:rFonts w:ascii="Arial" w:hAnsi="Arial" w:cs="Arial"/>
          <w:sz w:val="20"/>
          <w:szCs w:val="20"/>
        </w:rPr>
        <w:t xml:space="preserve"> et à la Commission </w:t>
      </w:r>
      <w:r>
        <w:rPr>
          <w:rFonts w:ascii="Arial" w:hAnsi="Arial" w:cs="Arial"/>
          <w:sz w:val="20"/>
          <w:szCs w:val="20"/>
        </w:rPr>
        <w:t>« Finances, Moyens Généraux, Personnel »</w:t>
      </w:r>
      <w:r w:rsidRPr="002B4D6D">
        <w:rPr>
          <w:rFonts w:ascii="Arial" w:hAnsi="Arial" w:cs="Arial"/>
          <w:sz w:val="20"/>
          <w:szCs w:val="20"/>
        </w:rPr>
        <w:t xml:space="preserve"> réunie le </w:t>
      </w:r>
      <w:r>
        <w:rPr>
          <w:rFonts w:ascii="Arial" w:hAnsi="Arial" w:cs="Arial"/>
          <w:sz w:val="20"/>
          <w:szCs w:val="20"/>
        </w:rPr>
        <w:t>9 février 2022</w:t>
      </w:r>
      <w:r w:rsidRPr="002B4D6D">
        <w:rPr>
          <w:rFonts w:ascii="Arial" w:hAnsi="Arial" w:cs="Arial"/>
          <w:sz w:val="20"/>
          <w:szCs w:val="20"/>
        </w:rPr>
        <w:t xml:space="preserve">, le Conseil </w:t>
      </w:r>
      <w:r>
        <w:rPr>
          <w:rFonts w:ascii="Arial" w:hAnsi="Arial" w:cs="Arial"/>
          <w:sz w:val="20"/>
          <w:szCs w:val="20"/>
        </w:rPr>
        <w:t>c</w:t>
      </w:r>
      <w:r w:rsidRPr="002B4D6D">
        <w:rPr>
          <w:rFonts w:ascii="Arial" w:hAnsi="Arial" w:cs="Arial"/>
          <w:sz w:val="20"/>
          <w:szCs w:val="20"/>
        </w:rPr>
        <w:t>ommunautaire est invité à débattre et à se prononcer sur les orientations budgétaires pour l’année 202</w:t>
      </w:r>
      <w:r>
        <w:rPr>
          <w:rFonts w:ascii="Arial" w:hAnsi="Arial" w:cs="Arial"/>
          <w:sz w:val="20"/>
          <w:szCs w:val="20"/>
        </w:rPr>
        <w:t>2</w:t>
      </w:r>
      <w:r w:rsidRPr="002B4D6D">
        <w:rPr>
          <w:rFonts w:ascii="Arial" w:hAnsi="Arial" w:cs="Arial"/>
          <w:sz w:val="20"/>
          <w:szCs w:val="20"/>
        </w:rPr>
        <w:t xml:space="preserve"> présentées dans le document </w:t>
      </w:r>
      <w:r w:rsidRPr="00A6650B">
        <w:rPr>
          <w:rFonts w:ascii="Arial" w:hAnsi="Arial" w:cs="Arial"/>
          <w:sz w:val="20"/>
          <w:szCs w:val="20"/>
        </w:rPr>
        <w:t>joint en annexe</w:t>
      </w:r>
      <w:r w:rsidRPr="00F1533E">
        <w:rPr>
          <w:rFonts w:ascii="Arial" w:hAnsi="Arial" w:cs="Arial"/>
          <w:sz w:val="20"/>
          <w:szCs w:val="20"/>
        </w:rPr>
        <w:t>.</w:t>
      </w:r>
    </w:p>
    <w:p w:rsidR="004718D5" w:rsidRPr="00A6650B" w:rsidRDefault="004718D5" w:rsidP="00A6650B">
      <w:pPr>
        <w:jc w:val="both"/>
        <w:rPr>
          <w:rFonts w:ascii="Arial" w:hAnsi="Arial" w:cs="Arial"/>
          <w:b/>
          <w:sz w:val="20"/>
          <w:szCs w:val="20"/>
        </w:rPr>
      </w:pPr>
      <w:r w:rsidRPr="00A6650B">
        <w:rPr>
          <w:rFonts w:ascii="Arial" w:hAnsi="Arial" w:cs="Arial"/>
          <w:b/>
          <w:sz w:val="20"/>
          <w:szCs w:val="20"/>
        </w:rPr>
        <w:t xml:space="preserve">Ainsi, suivant la présentation réalisée en séance, il </w:t>
      </w:r>
      <w:r w:rsidR="00A6650B" w:rsidRPr="00A6650B">
        <w:rPr>
          <w:rFonts w:ascii="Arial" w:hAnsi="Arial" w:cs="Arial"/>
          <w:b/>
          <w:sz w:val="20"/>
          <w:szCs w:val="20"/>
        </w:rPr>
        <w:t>est</w:t>
      </w:r>
      <w:r w:rsidRPr="00A6650B">
        <w:rPr>
          <w:rFonts w:ascii="Arial" w:hAnsi="Arial" w:cs="Arial"/>
          <w:b/>
          <w:sz w:val="20"/>
          <w:szCs w:val="20"/>
        </w:rPr>
        <w:t xml:space="preserve"> demandé au Conseil communautaire de bien vouloir prendre acte de la tenue du débat</w:t>
      </w:r>
      <w:r w:rsidR="00DE4E67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4718D5" w:rsidRPr="00DA7A91" w:rsidRDefault="004718D5" w:rsidP="004718D5">
      <w:pPr>
        <w:ind w:left="720"/>
        <w:contextualSpacing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A6650B" w:rsidRPr="00A6650B" w:rsidRDefault="00A6650B" w:rsidP="00A6650B">
      <w:pPr>
        <w:ind w:right="-2"/>
        <w:jc w:val="both"/>
        <w:rPr>
          <w:rFonts w:ascii="Arial" w:hAnsi="Arial" w:cs="Arial"/>
          <w:b/>
          <w:sz w:val="20"/>
          <w:szCs w:val="20"/>
        </w:rPr>
      </w:pPr>
      <w:r w:rsidRPr="00A6650B">
        <w:rPr>
          <w:rFonts w:ascii="Arial" w:hAnsi="Arial" w:cs="Arial"/>
          <w:b/>
          <w:sz w:val="20"/>
          <w:szCs w:val="20"/>
        </w:rPr>
        <w:t>Le Conseil communautaire, après en avoir délibéré, prend acte à l’unanimité des débats d’orientations budgétaires relatifs à l’exercice 202</w:t>
      </w:r>
      <w:r>
        <w:rPr>
          <w:rFonts w:ascii="Arial" w:hAnsi="Arial" w:cs="Arial"/>
          <w:b/>
          <w:sz w:val="20"/>
          <w:szCs w:val="20"/>
        </w:rPr>
        <w:t>2</w:t>
      </w:r>
      <w:r w:rsidRPr="00A6650B">
        <w:rPr>
          <w:rFonts w:ascii="Arial" w:hAnsi="Arial" w:cs="Arial"/>
          <w:b/>
          <w:sz w:val="20"/>
          <w:szCs w:val="20"/>
        </w:rPr>
        <w:t xml:space="preserve">, selon les modalités prévues par le règlement intérieur du Conseil communautaire, et sur la base de la note de synthèse </w:t>
      </w:r>
      <w:r w:rsidRPr="00A6650B">
        <w:rPr>
          <w:rFonts w:ascii="Arial" w:hAnsi="Arial" w:cs="Arial"/>
          <w:b/>
          <w:sz w:val="20"/>
          <w:szCs w:val="20"/>
          <w:u w:val="single"/>
        </w:rPr>
        <w:t>annexée à la délibération</w:t>
      </w:r>
      <w:r w:rsidRPr="00A6650B">
        <w:rPr>
          <w:rFonts w:ascii="Arial" w:hAnsi="Arial" w:cs="Arial"/>
          <w:b/>
          <w:sz w:val="20"/>
          <w:szCs w:val="20"/>
        </w:rPr>
        <w:t>.</w:t>
      </w:r>
    </w:p>
    <w:p w:rsidR="00A6650B" w:rsidRDefault="00A6650B" w:rsidP="001B0BDC">
      <w:pPr>
        <w:ind w:right="-29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FE5D43">
        <w:tc>
          <w:tcPr>
            <w:tcW w:w="906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E42FD" w:rsidRPr="003346E0" w:rsidRDefault="00DE42FD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5A00A9" w:rsidTr="00575981">
        <w:tc>
          <w:tcPr>
            <w:tcW w:w="9210" w:type="dxa"/>
            <w:gridSpan w:val="6"/>
          </w:tcPr>
          <w:p w:rsidR="005A00A9" w:rsidRDefault="00F24B0A" w:rsidP="0096036C">
            <w:pPr>
              <w:ind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0615C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 w:rsidR="005A00A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75981" w:rsidRPr="003346E0" w:rsidTr="00061630">
        <w:tc>
          <w:tcPr>
            <w:tcW w:w="9210" w:type="dxa"/>
            <w:gridSpan w:val="6"/>
          </w:tcPr>
          <w:p w:rsidR="00575981" w:rsidRPr="003346E0" w:rsidRDefault="00575981" w:rsidP="0006163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00A9" w:rsidTr="00575981">
        <w:tc>
          <w:tcPr>
            <w:tcW w:w="1535" w:type="dxa"/>
          </w:tcPr>
          <w:p w:rsidR="005A00A9" w:rsidRDefault="005A00A9" w:rsidP="00061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5A00A9" w:rsidRPr="009719AB" w:rsidRDefault="00315C3F" w:rsidP="00061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535" w:type="dxa"/>
          </w:tcPr>
          <w:p w:rsidR="005A00A9" w:rsidRDefault="005A00A9" w:rsidP="00061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5A00A9" w:rsidRPr="009719AB" w:rsidRDefault="00315C3F" w:rsidP="00061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5A00A9" w:rsidRDefault="005A00A9" w:rsidP="00061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5A00A9" w:rsidRPr="009719AB" w:rsidRDefault="00315C3F" w:rsidP="00061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75981" w:rsidRPr="003346E0" w:rsidTr="00061630">
        <w:tc>
          <w:tcPr>
            <w:tcW w:w="9210" w:type="dxa"/>
            <w:gridSpan w:val="6"/>
          </w:tcPr>
          <w:p w:rsidR="00575981" w:rsidRPr="003346E0" w:rsidRDefault="00575981" w:rsidP="0006163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00A9" w:rsidTr="00575981">
        <w:tc>
          <w:tcPr>
            <w:tcW w:w="9210" w:type="dxa"/>
            <w:gridSpan w:val="6"/>
          </w:tcPr>
          <w:p w:rsidR="005A00A9" w:rsidRPr="009719AB" w:rsidRDefault="00C23BEE" w:rsidP="00315C3F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4E67">
              <w:rPr>
                <w:rFonts w:ascii="Arial" w:hAnsi="Arial" w:cs="Arial"/>
                <w:b/>
                <w:sz w:val="20"/>
                <w:szCs w:val="20"/>
              </w:rPr>
            </w:r>
            <w:r w:rsidR="00DE4E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315C3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aseACocher4"/>
            <w:r w:rsidR="00315C3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4E67">
              <w:rPr>
                <w:rFonts w:ascii="Arial" w:hAnsi="Arial" w:cs="Arial"/>
                <w:b/>
                <w:sz w:val="20"/>
                <w:szCs w:val="20"/>
              </w:rPr>
            </w:r>
            <w:r w:rsidR="00DE4E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15C3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4E67">
              <w:rPr>
                <w:rFonts w:ascii="Arial" w:hAnsi="Arial" w:cs="Arial"/>
                <w:b/>
                <w:sz w:val="20"/>
                <w:szCs w:val="20"/>
              </w:rPr>
            </w:r>
            <w:r w:rsidR="00DE4E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5A00A9" w:rsidRPr="00A7575A" w:rsidRDefault="005A00A9" w:rsidP="005A00A9">
      <w:pPr>
        <w:jc w:val="both"/>
        <w:rPr>
          <w:rFonts w:ascii="Arial" w:hAnsi="Arial" w:cs="Arial"/>
          <w:sz w:val="20"/>
          <w:szCs w:val="20"/>
        </w:rPr>
      </w:pPr>
    </w:p>
    <w:p w:rsidR="001F349C" w:rsidRDefault="00ED0A6C" w:rsidP="001F349C">
      <w:pPr>
        <w:pStyle w:val="Corpsdetexte2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2950E1" w:rsidRDefault="00ED0A6C" w:rsidP="00ED0A6C">
      <w:pPr>
        <w:pStyle w:val="Corpsdetexte2"/>
        <w:rPr>
          <w:rFonts w:cs="Arial"/>
        </w:rPr>
      </w:pPr>
    </w:p>
    <w:p w:rsidR="00ED0A6C" w:rsidRDefault="00ED0A6C" w:rsidP="00ED0A6C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91" w:rsidRDefault="00DA7A91">
      <w:r>
        <w:separator/>
      </w:r>
    </w:p>
  </w:endnote>
  <w:endnote w:type="continuationSeparator" w:id="0">
    <w:p w:rsidR="00DA7A91" w:rsidRDefault="00DA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91" w:rsidRDefault="00DA7A91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E4E67">
      <w:rPr>
        <w:b/>
        <w:noProof/>
      </w:rPr>
      <w:t>4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E4E67">
      <w:rPr>
        <w:b/>
        <w:noProof/>
      </w:rPr>
      <w:t>4</w:t>
    </w:r>
    <w:r>
      <w:rPr>
        <w:b/>
      </w:rPr>
      <w:fldChar w:fldCharType="end"/>
    </w:r>
  </w:p>
  <w:p w:rsidR="00DA7A91" w:rsidRDefault="00DA7A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91" w:rsidRDefault="00DA7A91">
      <w:r>
        <w:separator/>
      </w:r>
    </w:p>
  </w:footnote>
  <w:footnote w:type="continuationSeparator" w:id="0">
    <w:p w:rsidR="00DA7A91" w:rsidRDefault="00DA7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91" w:rsidRPr="00FC7859" w:rsidRDefault="00DA7A91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Pr="00FC7859">
      <w:rPr>
        <w:rFonts w:ascii="Arial" w:hAnsi="Arial" w:cs="Arial"/>
        <w:b/>
        <w:sz w:val="32"/>
        <w:szCs w:val="32"/>
      </w:rPr>
      <w:t>D202</w:t>
    </w:r>
    <w:r>
      <w:rPr>
        <w:rFonts w:ascii="Arial" w:hAnsi="Arial" w:cs="Arial"/>
        <w:b/>
        <w:sz w:val="32"/>
        <w:szCs w:val="32"/>
      </w:rPr>
      <w:t>2</w:t>
    </w:r>
    <w:r w:rsidRPr="00FC7859">
      <w:rPr>
        <w:rFonts w:ascii="Arial" w:hAnsi="Arial" w:cs="Arial"/>
        <w:b/>
        <w:sz w:val="32"/>
        <w:szCs w:val="32"/>
      </w:rPr>
      <w:t>-</w:t>
    </w:r>
    <w:r>
      <w:rPr>
        <w:rFonts w:ascii="Arial" w:hAnsi="Arial" w:cs="Arial"/>
        <w:b/>
        <w:sz w:val="32"/>
        <w:szCs w:val="32"/>
      </w:rPr>
      <w:t>2</w:t>
    </w:r>
    <w:r w:rsidRPr="00FC7859">
      <w:rPr>
        <w:rFonts w:ascii="Arial" w:hAnsi="Arial" w:cs="Arial"/>
        <w:b/>
        <w:sz w:val="32"/>
        <w:szCs w:val="32"/>
      </w:rPr>
      <w:t>-</w:t>
    </w:r>
    <w:r>
      <w:rPr>
        <w:rFonts w:ascii="Arial" w:hAnsi="Arial" w:cs="Arial"/>
        <w:b/>
        <w:sz w:val="32"/>
        <w:szCs w:val="32"/>
      </w:rPr>
      <w:t>2-1</w:t>
    </w:r>
  </w:p>
  <w:p w:rsidR="00DA7A91" w:rsidRPr="002370A4" w:rsidRDefault="00DA7A91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77A98"/>
    <w:multiLevelType w:val="hybridMultilevel"/>
    <w:tmpl w:val="E6643DCE"/>
    <w:lvl w:ilvl="0" w:tplc="E92A8D2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0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12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61630"/>
    <w:rsid w:val="000712F5"/>
    <w:rsid w:val="00075C01"/>
    <w:rsid w:val="0009452E"/>
    <w:rsid w:val="000A2430"/>
    <w:rsid w:val="000B3330"/>
    <w:rsid w:val="000D2225"/>
    <w:rsid w:val="000E4D17"/>
    <w:rsid w:val="000E55D6"/>
    <w:rsid w:val="000F7A01"/>
    <w:rsid w:val="0010478D"/>
    <w:rsid w:val="00105C82"/>
    <w:rsid w:val="00115D40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4B6D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7E59"/>
    <w:rsid w:val="00263D53"/>
    <w:rsid w:val="002663D9"/>
    <w:rsid w:val="00271404"/>
    <w:rsid w:val="00276BA2"/>
    <w:rsid w:val="002806A5"/>
    <w:rsid w:val="00295C6E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15C3F"/>
    <w:rsid w:val="003249C7"/>
    <w:rsid w:val="003346E0"/>
    <w:rsid w:val="003376D2"/>
    <w:rsid w:val="00344471"/>
    <w:rsid w:val="003469B5"/>
    <w:rsid w:val="003648AD"/>
    <w:rsid w:val="003649FC"/>
    <w:rsid w:val="0037690D"/>
    <w:rsid w:val="00380EAC"/>
    <w:rsid w:val="00391FB4"/>
    <w:rsid w:val="0039293F"/>
    <w:rsid w:val="003B1CFC"/>
    <w:rsid w:val="003B5633"/>
    <w:rsid w:val="003B6F71"/>
    <w:rsid w:val="003C63A0"/>
    <w:rsid w:val="003F5836"/>
    <w:rsid w:val="00420E19"/>
    <w:rsid w:val="00441A1D"/>
    <w:rsid w:val="00457D4D"/>
    <w:rsid w:val="00463551"/>
    <w:rsid w:val="004718D5"/>
    <w:rsid w:val="00482BB8"/>
    <w:rsid w:val="00493728"/>
    <w:rsid w:val="004937FD"/>
    <w:rsid w:val="00494ED3"/>
    <w:rsid w:val="004A0EF8"/>
    <w:rsid w:val="004A5E9A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E42D5"/>
    <w:rsid w:val="005F17AA"/>
    <w:rsid w:val="005F6239"/>
    <w:rsid w:val="006021E9"/>
    <w:rsid w:val="00613B14"/>
    <w:rsid w:val="00616B05"/>
    <w:rsid w:val="00623911"/>
    <w:rsid w:val="00670463"/>
    <w:rsid w:val="006924A1"/>
    <w:rsid w:val="00693435"/>
    <w:rsid w:val="006A21E0"/>
    <w:rsid w:val="006B11CF"/>
    <w:rsid w:val="006D525D"/>
    <w:rsid w:val="006D63F5"/>
    <w:rsid w:val="006D6EAC"/>
    <w:rsid w:val="006F4AF8"/>
    <w:rsid w:val="006F4F60"/>
    <w:rsid w:val="006F65BC"/>
    <w:rsid w:val="00702654"/>
    <w:rsid w:val="00702812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807CF6"/>
    <w:rsid w:val="00813573"/>
    <w:rsid w:val="00831D40"/>
    <w:rsid w:val="008406CD"/>
    <w:rsid w:val="00866207"/>
    <w:rsid w:val="00874A12"/>
    <w:rsid w:val="0088325C"/>
    <w:rsid w:val="00884B78"/>
    <w:rsid w:val="00893CB7"/>
    <w:rsid w:val="008A35EE"/>
    <w:rsid w:val="008A6CED"/>
    <w:rsid w:val="008A73DB"/>
    <w:rsid w:val="008A7FFE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73A6C"/>
    <w:rsid w:val="00981E41"/>
    <w:rsid w:val="00985E8A"/>
    <w:rsid w:val="00986176"/>
    <w:rsid w:val="009A1C0B"/>
    <w:rsid w:val="009B5243"/>
    <w:rsid w:val="009D7D21"/>
    <w:rsid w:val="009F00B8"/>
    <w:rsid w:val="009F66FC"/>
    <w:rsid w:val="00A31CDC"/>
    <w:rsid w:val="00A36BEA"/>
    <w:rsid w:val="00A36D0E"/>
    <w:rsid w:val="00A455C8"/>
    <w:rsid w:val="00A47828"/>
    <w:rsid w:val="00A60F52"/>
    <w:rsid w:val="00A652E1"/>
    <w:rsid w:val="00A6650B"/>
    <w:rsid w:val="00A7575A"/>
    <w:rsid w:val="00A765AE"/>
    <w:rsid w:val="00A77F42"/>
    <w:rsid w:val="00AA11EF"/>
    <w:rsid w:val="00AA4221"/>
    <w:rsid w:val="00AB317B"/>
    <w:rsid w:val="00AB7BF9"/>
    <w:rsid w:val="00AD37DB"/>
    <w:rsid w:val="00AD4FBA"/>
    <w:rsid w:val="00B068A9"/>
    <w:rsid w:val="00B15644"/>
    <w:rsid w:val="00B261C6"/>
    <w:rsid w:val="00B40707"/>
    <w:rsid w:val="00B44302"/>
    <w:rsid w:val="00B500C1"/>
    <w:rsid w:val="00B54F8B"/>
    <w:rsid w:val="00B60A02"/>
    <w:rsid w:val="00B766A1"/>
    <w:rsid w:val="00B94C70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50B2E"/>
    <w:rsid w:val="00C82CBC"/>
    <w:rsid w:val="00C86D0E"/>
    <w:rsid w:val="00C92897"/>
    <w:rsid w:val="00C92A4B"/>
    <w:rsid w:val="00CA7EE5"/>
    <w:rsid w:val="00CB1694"/>
    <w:rsid w:val="00CC41F7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31392"/>
    <w:rsid w:val="00D40CEB"/>
    <w:rsid w:val="00D53DA2"/>
    <w:rsid w:val="00D56259"/>
    <w:rsid w:val="00D57D16"/>
    <w:rsid w:val="00D64356"/>
    <w:rsid w:val="00D83704"/>
    <w:rsid w:val="00D84A20"/>
    <w:rsid w:val="00D92B9F"/>
    <w:rsid w:val="00DA17CE"/>
    <w:rsid w:val="00DA775F"/>
    <w:rsid w:val="00DA7A91"/>
    <w:rsid w:val="00DB3A50"/>
    <w:rsid w:val="00DB4051"/>
    <w:rsid w:val="00DE0C2B"/>
    <w:rsid w:val="00DE3FAD"/>
    <w:rsid w:val="00DE42FD"/>
    <w:rsid w:val="00DE4E67"/>
    <w:rsid w:val="00DE5F2F"/>
    <w:rsid w:val="00DF4242"/>
    <w:rsid w:val="00E24F93"/>
    <w:rsid w:val="00E26DFF"/>
    <w:rsid w:val="00E41260"/>
    <w:rsid w:val="00E42850"/>
    <w:rsid w:val="00E531C6"/>
    <w:rsid w:val="00E55921"/>
    <w:rsid w:val="00E7598B"/>
    <w:rsid w:val="00E8496E"/>
    <w:rsid w:val="00EA23E7"/>
    <w:rsid w:val="00ED0A6C"/>
    <w:rsid w:val="00F07718"/>
    <w:rsid w:val="00F207AC"/>
    <w:rsid w:val="00F24B0A"/>
    <w:rsid w:val="00F25616"/>
    <w:rsid w:val="00F464F7"/>
    <w:rsid w:val="00F53A91"/>
    <w:rsid w:val="00F60A16"/>
    <w:rsid w:val="00F86E8D"/>
    <w:rsid w:val="00F97371"/>
    <w:rsid w:val="00F97545"/>
    <w:rsid w:val="00FC13C1"/>
    <w:rsid w:val="00FC7859"/>
    <w:rsid w:val="00FD07AD"/>
    <w:rsid w:val="00FD20E4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2E49CB6"/>
  <w15:docId w15:val="{DFC9B063-5C83-49BD-B3AC-B9851DAE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2-24%2002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CA53EB0D549FFAC1A01AA5BC4F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6F839-1001-40EF-9EBF-F75783693693}"/>
      </w:docPartPr>
      <w:docPartBody>
        <w:p w:rsidR="005E3601" w:rsidRDefault="005E3601">
          <w:pPr>
            <w:pStyle w:val="755CA53EB0D549FFAC1A01AA5BC4FA7F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5C41602D4AE481E87D74B773BB26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6EEAA-3E87-46F7-87C7-60D3DD16B281}"/>
      </w:docPartPr>
      <w:docPartBody>
        <w:p w:rsidR="002E10F2" w:rsidRDefault="005C6033" w:rsidP="005C6033">
          <w:pPr>
            <w:pStyle w:val="D5C41602D4AE481E87D74B773BB261CB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01"/>
    <w:rsid w:val="002E10F2"/>
    <w:rsid w:val="005C6033"/>
    <w:rsid w:val="005E3601"/>
    <w:rsid w:val="00E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6033"/>
    <w:rPr>
      <w:color w:val="808080"/>
    </w:rPr>
  </w:style>
  <w:style w:type="paragraph" w:customStyle="1" w:styleId="755CA53EB0D549FFAC1A01AA5BC4FA7F">
    <w:name w:val="755CA53EB0D549FFAC1A01AA5BC4FA7F"/>
  </w:style>
  <w:style w:type="paragraph" w:customStyle="1" w:styleId="8A5D0E2A6AA4433CA565700A7D6A96A9">
    <w:name w:val="8A5D0E2A6AA4433CA565700A7D6A96A9"/>
  </w:style>
  <w:style w:type="paragraph" w:customStyle="1" w:styleId="D5C41602D4AE481E87D74B773BB261CB">
    <w:name w:val="D5C41602D4AE481E87D74B773BB261CB"/>
    <w:rsid w:val="005C6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249-E644-424E-A69B-0590F7541091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161D39-FDD9-422F-B7A9-E9FF3A7F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120</TotalTime>
  <Pages>4</Pages>
  <Words>958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22</cp:revision>
  <cp:lastPrinted>2022-02-25T14:48:00Z</cp:lastPrinted>
  <dcterms:created xsi:type="dcterms:W3CDTF">2022-02-18T13:50:00Z</dcterms:created>
  <dcterms:modified xsi:type="dcterms:W3CDTF">2022-02-28T16:11:00Z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