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D67B2D" w:rsidRPr="00D64356" w:rsidRDefault="00D67B2D" w:rsidP="00D67B2D">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D67B2D" w:rsidRPr="00D64356" w:rsidRDefault="00D67B2D" w:rsidP="00D67B2D">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38</w:t>
            </w:r>
          </w:p>
          <w:p w:rsidR="00D67B2D" w:rsidRPr="00D64356" w:rsidRDefault="00D67B2D" w:rsidP="00D67B2D">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D67B2D" w:rsidRPr="00D64356" w:rsidRDefault="00D67B2D" w:rsidP="00D67B2D">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604CAE">
              <w:rPr>
                <w:rFonts w:ascii="Arial" w:hAnsi="Arial"/>
                <w:b/>
                <w:sz w:val="20"/>
                <w:szCs w:val="20"/>
              </w:rPr>
              <w:t>6</w:t>
            </w:r>
          </w:p>
          <w:p w:rsidR="00D278EF" w:rsidRDefault="00D67B2D" w:rsidP="00D67B2D">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proofErr w:type="gramStart"/>
            <w:r>
              <w:rPr>
                <w:rFonts w:ascii="Arial" w:hAnsi="Arial"/>
                <w:b/>
                <w:color w:val="003300"/>
                <w:sz w:val="20"/>
                <w:szCs w:val="20"/>
              </w:rPr>
              <w:t>e</w:t>
            </w:r>
            <w:r w:rsidR="001F349C">
              <w:rPr>
                <w:rFonts w:ascii="Arial" w:hAnsi="Arial"/>
                <w:b/>
                <w:color w:val="003300"/>
                <w:sz w:val="20"/>
                <w:szCs w:val="20"/>
              </w:rPr>
              <w:t>t</w:t>
            </w:r>
            <w:proofErr w:type="gramEnd"/>
            <w:r w:rsidR="001F349C">
              <w:rPr>
                <w:rFonts w:ascii="Arial" w:hAnsi="Arial"/>
                <w:b/>
                <w:color w:val="003300"/>
                <w:sz w:val="20"/>
                <w:szCs w:val="20"/>
              </w:rPr>
              <w:t xml:space="preserve">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B53B31"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30658"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B53B31"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FCBEE"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D67B2D"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0A8A3CD7784243C0AFA30E12D65B97B7"/>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506A70" w:rsidP="00D278EF">
                <w:pPr>
                  <w:ind w:left="356" w:hanging="356"/>
                  <w:rPr>
                    <w:rFonts w:ascii="Arial" w:hAnsi="Arial" w:cs="Arial"/>
                    <w:b/>
                    <w:sz w:val="20"/>
                    <w:szCs w:val="20"/>
                    <w:u w:val="single"/>
                  </w:rPr>
                </w:pPr>
                <w:r>
                  <w:rPr>
                    <w:rStyle w:val="Style7"/>
                  </w:rPr>
                  <w:t>7 - Finances Locales</w:t>
                </w:r>
              </w:p>
            </w:sdtContent>
          </w:sdt>
          <w:sdt>
            <w:sdtPr>
              <w:rPr>
                <w:rStyle w:val="Style8"/>
              </w:rPr>
              <w:id w:val="18689017"/>
              <w:placeholder>
                <w:docPart w:val="0A8A3CD7784243C0AFA30E12D65B97B7"/>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506A70" w:rsidP="00D278EF">
                <w:pPr>
                  <w:rPr>
                    <w:rFonts w:ascii="Arial" w:hAnsi="Arial" w:cs="Arial"/>
                    <w:b/>
                    <w:sz w:val="20"/>
                    <w:szCs w:val="20"/>
                  </w:rPr>
                </w:pPr>
                <w:r>
                  <w:rPr>
                    <w:rStyle w:val="Style8"/>
                  </w:rPr>
                  <w:t>7.5 - Subventions</w:t>
                </w:r>
              </w:p>
            </w:sdtContent>
          </w:sdt>
          <w:p w:rsidR="00D278EF" w:rsidRPr="003346E0" w:rsidRDefault="00D278EF" w:rsidP="00727EF8">
            <w:pPr>
              <w:rPr>
                <w:rFonts w:ascii="Arial" w:hAnsi="Arial" w:cs="Arial"/>
                <w:b/>
                <w:sz w:val="12"/>
                <w:szCs w:val="12"/>
                <w:u w:val="single"/>
              </w:rPr>
            </w:pPr>
          </w:p>
          <w:p w:rsidR="00727EF8" w:rsidRPr="00E41260" w:rsidRDefault="0019330A" w:rsidP="00506A70">
            <w:pPr>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4F4CD6" w:rsidRPr="004F4CD6">
              <w:rPr>
                <w:rFonts w:ascii="Arial" w:hAnsi="Arial" w:cs="Arial"/>
                <w:b/>
                <w:bCs/>
                <w:sz w:val="20"/>
                <w:szCs w:val="20"/>
              </w:rPr>
              <w:t>Demande de subvention au titre de la Dotation d’Equipement des Territoires Ruraux (DETR) 2022</w:t>
            </w:r>
          </w:p>
        </w:tc>
      </w:tr>
    </w:tbl>
    <w:p w:rsidR="00D67B2D" w:rsidRDefault="00D67B2D" w:rsidP="00D67B2D">
      <w:pPr>
        <w:ind w:right="-851"/>
        <w:jc w:val="both"/>
        <w:rPr>
          <w:rFonts w:ascii="Arial" w:hAnsi="Arial" w:cs="Arial"/>
          <w:sz w:val="20"/>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D67B2D"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D67B2D"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D67B2D" w:rsidRDefault="00D67B2D"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D67B2D" w:rsidRDefault="00D67B2D"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D67B2D" w:rsidRDefault="00D67B2D" w:rsidP="00A10972">
            <w:pPr>
              <w:rPr>
                <w:rFonts w:ascii="Arial" w:hAnsi="Arial" w:cs="Arial"/>
                <w:b/>
                <w:bCs/>
                <w:color w:val="000000"/>
                <w:sz w:val="18"/>
                <w:szCs w:val="18"/>
              </w:rPr>
            </w:pP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r>
      <w:tr w:rsidR="00D67B2D" w:rsidTr="00A10972">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LA VILLETTE</w:t>
            </w:r>
          </w:p>
        </w:tc>
      </w:tr>
      <w:tr w:rsidR="00D67B2D" w:rsidTr="00A10972">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PERIGNY</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bl>
    <w:p w:rsidR="00D67B2D" w:rsidRPr="00D67B2D" w:rsidRDefault="00D67B2D" w:rsidP="00D67B2D">
      <w:pPr>
        <w:rPr>
          <w:sz w:val="8"/>
          <w:szCs w:val="8"/>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D67B2D"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D67B2D"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D67B2D" w:rsidRDefault="00D67B2D"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D67B2D" w:rsidRDefault="00D67B2D"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D67B2D" w:rsidRDefault="00D67B2D" w:rsidP="00A10972">
            <w:pPr>
              <w:rPr>
                <w:rFonts w:ascii="Arial" w:hAnsi="Arial" w:cs="Arial"/>
                <w:b/>
                <w:bCs/>
                <w:color w:val="000000"/>
                <w:sz w:val="18"/>
                <w:szCs w:val="18"/>
              </w:rPr>
            </w:pP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r>
      <w:tr w:rsidR="00D67B2D" w:rsidTr="00A10972">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PONTECOULANT</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r>
      <w:tr w:rsidR="00D67B2D" w:rsidTr="00A10972">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rPr>
                <w:sz w:val="20"/>
                <w:szCs w:val="20"/>
              </w:rPr>
            </w:pPr>
          </w:p>
        </w:tc>
      </w:tr>
      <w:tr w:rsidR="00D67B2D" w:rsidTr="00A10972">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BEAUMESNIL</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112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rPr>
                <w:sz w:val="20"/>
                <w:szCs w:val="20"/>
              </w:rPr>
            </w:pPr>
          </w:p>
        </w:tc>
      </w:tr>
      <w:tr w:rsidR="00D67B2D" w:rsidTr="00A10972">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CAMPAGNOLLES</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r>
      <w:tr w:rsidR="00D67B2D" w:rsidTr="00A10972">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NOUES-DE-SIENNE</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r>
      <w:tr w:rsidR="00D67B2D" w:rsidTr="00A10972">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PONT-BELLANGER</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rPr>
                <w:sz w:val="20"/>
                <w:szCs w:val="20"/>
              </w:rPr>
            </w:pPr>
          </w:p>
        </w:tc>
      </w:tr>
      <w:tr w:rsidR="00D67B2D" w:rsidTr="00A10972">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r>
      <w:tr w:rsidR="00D67B2D" w:rsidTr="00A10972">
        <w:trPr>
          <w:trHeight w:val="113"/>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1120" w:type="dxa"/>
            <w:tcBorders>
              <w:top w:val="nil"/>
              <w:left w:val="nil"/>
              <w:bottom w:val="nil"/>
              <w:right w:val="nil"/>
            </w:tcBorders>
            <w:shd w:val="clear" w:color="auto" w:fill="auto"/>
            <w:noWrap/>
            <w:vAlign w:val="bottom"/>
            <w:hideMark/>
          </w:tcPr>
          <w:p w:rsidR="00D67B2D" w:rsidRDefault="00D67B2D" w:rsidP="00A10972">
            <w:pPr>
              <w:rPr>
                <w:sz w:val="20"/>
                <w:szCs w:val="20"/>
              </w:rPr>
            </w:pPr>
          </w:p>
        </w:tc>
        <w:tc>
          <w:tcPr>
            <w:tcW w:w="880" w:type="dxa"/>
            <w:tcBorders>
              <w:top w:val="nil"/>
              <w:left w:val="nil"/>
              <w:bottom w:val="nil"/>
              <w:right w:val="nil"/>
            </w:tcBorders>
            <w:shd w:val="clear" w:color="auto" w:fill="auto"/>
            <w:noWrap/>
            <w:vAlign w:val="bottom"/>
            <w:hideMark/>
          </w:tcPr>
          <w:p w:rsidR="00D67B2D" w:rsidRDefault="00D67B2D" w:rsidP="00A10972">
            <w:pPr>
              <w:rPr>
                <w:sz w:val="20"/>
                <w:szCs w:val="20"/>
              </w:rPr>
            </w:pPr>
          </w:p>
        </w:tc>
      </w:tr>
      <w:tr w:rsidR="00D67B2D" w:rsidTr="00A10972">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p>
        </w:tc>
      </w:tr>
      <w:tr w:rsidR="00D67B2D"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r>
    </w:tbl>
    <w:p w:rsidR="00D67B2D" w:rsidRDefault="00D67B2D" w:rsidP="00D67B2D">
      <w:pPr>
        <w:rPr>
          <w:sz w:val="8"/>
          <w:szCs w:val="8"/>
        </w:rPr>
      </w:pPr>
    </w:p>
    <w:p w:rsidR="00D67B2D" w:rsidRPr="00F11D18" w:rsidRDefault="00D67B2D" w:rsidP="00D67B2D">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D67B2D"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D67B2D"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D67B2D" w:rsidRDefault="00D67B2D"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D67B2D" w:rsidRDefault="00D67B2D"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D67B2D" w:rsidRDefault="00D67B2D" w:rsidP="00A10972">
            <w:pPr>
              <w:rPr>
                <w:rFonts w:ascii="Arial" w:hAnsi="Arial" w:cs="Arial"/>
                <w:b/>
                <w:bCs/>
                <w:color w:val="000000"/>
                <w:sz w:val="18"/>
                <w:szCs w:val="18"/>
              </w:rPr>
            </w:pPr>
          </w:p>
        </w:tc>
      </w:tr>
      <w:tr w:rsidR="00D67B2D" w:rsidTr="00A10972">
        <w:trPr>
          <w:trHeight w:val="85"/>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04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r>
      <w:tr w:rsidR="00D67B2D" w:rsidTr="00A10972">
        <w:trPr>
          <w:trHeight w:val="95"/>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VALDALLIERE</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 xml:space="preserve">Mme Caroline CHANU </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r>
      <w:tr w:rsidR="00D67B2D" w:rsidTr="00A10972">
        <w:trPr>
          <w:trHeight w:val="25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85"/>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D67B2D" w:rsidRDefault="00D67B2D" w:rsidP="00A10972">
            <w:pPr>
              <w:jc w:val="center"/>
              <w:rPr>
                <w:sz w:val="20"/>
                <w:szCs w:val="20"/>
              </w:rPr>
            </w:pPr>
          </w:p>
        </w:tc>
      </w:tr>
      <w:tr w:rsidR="00D67B2D" w:rsidTr="00A10972">
        <w:trPr>
          <w:trHeight w:val="2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67B2D" w:rsidRDefault="00D67B2D" w:rsidP="00A10972">
            <w:pPr>
              <w:rPr>
                <w:rFonts w:ascii="Calibri" w:hAnsi="Calibri"/>
                <w:b/>
                <w:bCs/>
                <w:color w:val="000000"/>
                <w:sz w:val="18"/>
                <w:szCs w:val="18"/>
                <w:u w:val="single"/>
              </w:rPr>
            </w:pPr>
            <w:r>
              <w:rPr>
                <w:rFonts w:ascii="Calibri" w:hAnsi="Calibri"/>
                <w:b/>
                <w:bCs/>
                <w:color w:val="000000"/>
                <w:sz w:val="18"/>
                <w:szCs w:val="18"/>
                <w:u w:val="single"/>
              </w:rPr>
              <w:t>VIRE NORMANDIE</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color w:val="000000"/>
                <w:sz w:val="18"/>
                <w:szCs w:val="18"/>
              </w:rPr>
            </w:pPr>
            <w:r>
              <w:rPr>
                <w:rFonts w:ascii="Calibri" w:hAnsi="Calibri"/>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Pr="002E64BE" w:rsidRDefault="00D67B2D" w:rsidP="00A10972">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Pr="00E765F4" w:rsidRDefault="00D67B2D" w:rsidP="00A10972">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Pr="00E765F4" w:rsidRDefault="00D67B2D" w:rsidP="00A10972">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r>
      <w:tr w:rsidR="00D67B2D" w:rsidTr="00A10972">
        <w:trPr>
          <w:trHeight w:val="255"/>
        </w:trPr>
        <w:tc>
          <w:tcPr>
            <w:tcW w:w="2920" w:type="dxa"/>
            <w:tcBorders>
              <w:top w:val="nil"/>
              <w:left w:val="single" w:sz="8" w:space="0" w:color="auto"/>
              <w:bottom w:val="nil"/>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255"/>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67B2D" w:rsidRDefault="00D67B2D" w:rsidP="00A10972">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67B2D" w:rsidRDefault="00D67B2D" w:rsidP="00A10972">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67B2D" w:rsidRDefault="00D67B2D" w:rsidP="00A10972">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 </w:t>
            </w:r>
          </w:p>
        </w:tc>
      </w:tr>
      <w:tr w:rsidR="00D67B2D" w:rsidTr="00A10972">
        <w:trPr>
          <w:trHeight w:val="85"/>
        </w:trPr>
        <w:tc>
          <w:tcPr>
            <w:tcW w:w="2920" w:type="dxa"/>
            <w:tcBorders>
              <w:top w:val="nil"/>
              <w:left w:val="nil"/>
              <w:bottom w:val="nil"/>
              <w:right w:val="nil"/>
            </w:tcBorders>
            <w:shd w:val="clear" w:color="auto" w:fill="auto"/>
            <w:vAlign w:val="center"/>
            <w:hideMark/>
          </w:tcPr>
          <w:p w:rsidR="00D67B2D" w:rsidRDefault="00D67B2D"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67B2D" w:rsidRDefault="00D67B2D" w:rsidP="00A10972">
            <w:pPr>
              <w:rPr>
                <w:sz w:val="20"/>
                <w:szCs w:val="20"/>
              </w:rPr>
            </w:pPr>
          </w:p>
        </w:tc>
        <w:tc>
          <w:tcPr>
            <w:tcW w:w="204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2260" w:type="dxa"/>
            <w:tcBorders>
              <w:top w:val="nil"/>
              <w:left w:val="nil"/>
              <w:bottom w:val="nil"/>
              <w:right w:val="nil"/>
            </w:tcBorders>
            <w:shd w:val="clear" w:color="auto" w:fill="auto"/>
            <w:vAlign w:val="center"/>
            <w:hideMark/>
          </w:tcPr>
          <w:p w:rsidR="00D67B2D" w:rsidRDefault="00D67B2D"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D67B2D" w:rsidRDefault="00D67B2D"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D67B2D" w:rsidRDefault="00D67B2D" w:rsidP="00A10972">
            <w:pPr>
              <w:rPr>
                <w:sz w:val="20"/>
                <w:szCs w:val="20"/>
              </w:rPr>
            </w:pPr>
          </w:p>
        </w:tc>
      </w:tr>
      <w:tr w:rsidR="00D67B2D" w:rsidTr="00A10972">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36</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6</w:t>
            </w:r>
          </w:p>
        </w:tc>
      </w:tr>
      <w:tr w:rsidR="00D67B2D" w:rsidTr="00A10972">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61</w:t>
            </w:r>
          </w:p>
        </w:tc>
      </w:tr>
      <w:tr w:rsidR="00D67B2D" w:rsidTr="00A10972">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38</w:t>
            </w:r>
          </w:p>
        </w:tc>
      </w:tr>
      <w:tr w:rsidR="00D67B2D" w:rsidTr="00A10972">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21</w:t>
            </w:r>
          </w:p>
        </w:tc>
      </w:tr>
      <w:tr w:rsidR="00D67B2D" w:rsidTr="00A10972">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67B2D" w:rsidRDefault="00D67B2D" w:rsidP="00A10972">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D67B2D" w:rsidRDefault="00D67B2D" w:rsidP="00A10972">
            <w:pPr>
              <w:jc w:val="center"/>
              <w:rPr>
                <w:rFonts w:ascii="Calibri" w:hAnsi="Calibri"/>
                <w:b/>
                <w:bCs/>
                <w:color w:val="000000"/>
                <w:sz w:val="18"/>
                <w:szCs w:val="18"/>
              </w:rPr>
            </w:pPr>
            <w:r>
              <w:rPr>
                <w:rFonts w:ascii="Calibri" w:hAnsi="Calibri"/>
                <w:b/>
                <w:bCs/>
                <w:color w:val="000000"/>
                <w:sz w:val="18"/>
                <w:szCs w:val="18"/>
              </w:rPr>
              <w:t>49</w:t>
            </w:r>
          </w:p>
        </w:tc>
      </w:tr>
    </w:tbl>
    <w:p w:rsidR="00137065" w:rsidRPr="00506A70" w:rsidRDefault="00D67B2D" w:rsidP="001B0BDC">
      <w:pPr>
        <w:ind w:right="-851"/>
        <w:jc w:val="both"/>
        <w:rPr>
          <w:rFonts w:ascii="Arial" w:hAnsi="Arial" w:cs="Arial"/>
          <w:sz w:val="12"/>
          <w:szCs w:val="12"/>
        </w:rPr>
      </w:pPr>
      <w:r>
        <w:rPr>
          <w:rFonts w:ascii="Arial" w:hAnsi="Arial" w:cs="Arial"/>
          <w:sz w:val="20"/>
        </w:rPr>
        <w:br w:type="page"/>
      </w:r>
    </w:p>
    <w:p w:rsidR="00014AE9" w:rsidRPr="00F60A16" w:rsidRDefault="00745EC9" w:rsidP="001B0BDC">
      <w:pPr>
        <w:ind w:right="-851"/>
        <w:jc w:val="both"/>
        <w:rPr>
          <w:rFonts w:ascii="Arial" w:hAnsi="Arial" w:cs="Arial"/>
          <w:b/>
          <w:sz w:val="20"/>
        </w:rPr>
      </w:pPr>
      <w:sdt>
        <w:sdtPr>
          <w:rPr>
            <w:rFonts w:ascii="Arial" w:hAnsi="Arial" w:cs="Arial"/>
            <w:b/>
            <w:sz w:val="20"/>
          </w:rPr>
          <w:id w:val="18689018"/>
          <w:placeholder>
            <w:docPart w:val="49B5F8FE8B474831B26254E8423C94DA"/>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4F4CD6">
            <w:rPr>
              <w:rFonts w:ascii="Arial" w:hAnsi="Arial" w:cs="Arial"/>
              <w:b/>
              <w:sz w:val="20"/>
            </w:rPr>
            <w:t>M. Lucien BAZIN</w:t>
          </w:r>
        </w:sdtContent>
      </w:sdt>
      <w:r w:rsidR="00535176">
        <w:rPr>
          <w:rFonts w:ascii="Arial" w:hAnsi="Arial" w:cs="Arial"/>
          <w:b/>
          <w:sz w:val="20"/>
        </w:rPr>
        <w:t xml:space="preserve"> </w:t>
      </w:r>
      <w:proofErr w:type="gramStart"/>
      <w:r w:rsidR="00014AE9" w:rsidRPr="00F60A16">
        <w:rPr>
          <w:rFonts w:ascii="Arial" w:hAnsi="Arial" w:cs="Arial"/>
          <w:b/>
          <w:sz w:val="20"/>
        </w:rPr>
        <w:t>donne</w:t>
      </w:r>
      <w:proofErr w:type="gramEnd"/>
      <w:r w:rsidR="00014AE9" w:rsidRPr="00F60A16">
        <w:rPr>
          <w:rFonts w:ascii="Arial" w:hAnsi="Arial" w:cs="Arial"/>
          <w:b/>
          <w:sz w:val="20"/>
        </w:rPr>
        <w:t xml:space="preserv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506A70" w:rsidRDefault="00014AE9" w:rsidP="001B0BDC">
      <w:pPr>
        <w:ind w:right="-290"/>
        <w:jc w:val="both"/>
        <w:rPr>
          <w:rFonts w:ascii="Arial" w:hAnsi="Arial" w:cs="Arial"/>
          <w:sz w:val="12"/>
          <w:szCs w:val="12"/>
        </w:rPr>
      </w:pPr>
    </w:p>
    <w:p w:rsidR="00D773AE" w:rsidRDefault="00D773AE" w:rsidP="00D773AE">
      <w:pPr>
        <w:pStyle w:val="Sansinterligne"/>
        <w:jc w:val="both"/>
        <w:rPr>
          <w:rFonts w:ascii="Arial" w:hAnsi="Arial" w:cs="Arial"/>
          <w:sz w:val="20"/>
          <w:szCs w:val="20"/>
        </w:rPr>
      </w:pPr>
      <w:r>
        <w:rPr>
          <w:rFonts w:ascii="Arial" w:hAnsi="Arial" w:cs="Arial"/>
          <w:sz w:val="20"/>
          <w:szCs w:val="20"/>
        </w:rPr>
        <w:t>La Dotation d’Equipement des Territoires Ruraux vise à subventionner des programmes d’investissements communaux et intercommunaux destinés à se concrétiser dans l’année.</w:t>
      </w:r>
    </w:p>
    <w:p w:rsidR="00D773AE" w:rsidRPr="00506A70" w:rsidRDefault="00D773AE" w:rsidP="00D773AE">
      <w:pPr>
        <w:pStyle w:val="Sansinterligne"/>
        <w:jc w:val="both"/>
        <w:rPr>
          <w:rFonts w:ascii="Arial" w:hAnsi="Arial" w:cs="Arial"/>
          <w:sz w:val="6"/>
          <w:szCs w:val="6"/>
        </w:rPr>
      </w:pPr>
    </w:p>
    <w:p w:rsidR="00D773AE" w:rsidRDefault="00D773AE" w:rsidP="00D773AE">
      <w:pPr>
        <w:pStyle w:val="Sansinterligne"/>
        <w:jc w:val="both"/>
        <w:rPr>
          <w:rFonts w:ascii="Arial" w:hAnsi="Arial" w:cs="Arial"/>
          <w:sz w:val="20"/>
          <w:szCs w:val="20"/>
        </w:rPr>
      </w:pPr>
      <w:r>
        <w:rPr>
          <w:rFonts w:ascii="Arial" w:hAnsi="Arial" w:cs="Arial"/>
          <w:sz w:val="20"/>
          <w:szCs w:val="20"/>
        </w:rPr>
        <w:t>L’arrêté préfectoral du 5 novembre 2021 détermine les catégories d’opérations susceptibles de recevoir une subvention spécifique au titre de la Dotation d’Equipement des Territoires Ruraux (DETR) pour l’exercice 2022.</w:t>
      </w:r>
    </w:p>
    <w:p w:rsidR="00D773AE" w:rsidRPr="00506A70" w:rsidRDefault="00D773AE" w:rsidP="00D773AE">
      <w:pPr>
        <w:pStyle w:val="Sansinterligne"/>
        <w:jc w:val="both"/>
        <w:rPr>
          <w:rFonts w:ascii="Arial" w:hAnsi="Arial" w:cs="Arial"/>
          <w:sz w:val="6"/>
          <w:szCs w:val="6"/>
        </w:rPr>
      </w:pPr>
    </w:p>
    <w:p w:rsidR="00D773AE" w:rsidRDefault="00D773AE" w:rsidP="00D773AE">
      <w:pPr>
        <w:pStyle w:val="Sansinterligne"/>
        <w:jc w:val="both"/>
        <w:rPr>
          <w:rFonts w:ascii="Arial" w:hAnsi="Arial" w:cs="Arial"/>
          <w:sz w:val="20"/>
          <w:szCs w:val="20"/>
        </w:rPr>
      </w:pPr>
      <w:r>
        <w:rPr>
          <w:rFonts w:ascii="Arial" w:hAnsi="Arial" w:cs="Arial"/>
          <w:sz w:val="20"/>
          <w:szCs w:val="20"/>
        </w:rPr>
        <w:t>A ce titre, les opérations de développement économique ainsi que les travaux de voirie sur zones sont éligibles à la DETR exercice 2022 et peuvent bénéficier d’une subvention pouvant atteindre 40 % de leur coût.</w:t>
      </w:r>
    </w:p>
    <w:p w:rsidR="00D773AE" w:rsidRPr="00506A70" w:rsidRDefault="00D773AE" w:rsidP="00D773AE">
      <w:pPr>
        <w:pStyle w:val="Sansinterligne"/>
        <w:jc w:val="both"/>
        <w:rPr>
          <w:rFonts w:ascii="Arial" w:hAnsi="Arial" w:cs="Arial"/>
          <w:sz w:val="6"/>
          <w:szCs w:val="6"/>
        </w:rPr>
      </w:pPr>
    </w:p>
    <w:p w:rsidR="00D773AE" w:rsidRDefault="00D773AE" w:rsidP="00D773AE">
      <w:pPr>
        <w:pStyle w:val="Sansinterligne"/>
        <w:jc w:val="both"/>
        <w:rPr>
          <w:rFonts w:ascii="Arial" w:hAnsi="Arial" w:cs="Arial"/>
          <w:sz w:val="20"/>
          <w:szCs w:val="20"/>
        </w:rPr>
      </w:pPr>
      <w:r>
        <w:rPr>
          <w:rFonts w:ascii="Arial" w:hAnsi="Arial" w:cs="Arial"/>
          <w:sz w:val="20"/>
          <w:szCs w:val="20"/>
        </w:rPr>
        <w:t>Deux opérations à réaliser cette année seraient éligibles à la DETR exercice 2022 :</w:t>
      </w:r>
    </w:p>
    <w:p w:rsidR="00D773AE" w:rsidRPr="00D67B2D" w:rsidRDefault="00D773AE" w:rsidP="00D773AE">
      <w:pPr>
        <w:pStyle w:val="Sansinterligne"/>
        <w:jc w:val="both"/>
        <w:rPr>
          <w:rFonts w:ascii="Arial" w:hAnsi="Arial" w:cs="Arial"/>
          <w:sz w:val="6"/>
          <w:szCs w:val="6"/>
        </w:rPr>
      </w:pPr>
    </w:p>
    <w:p w:rsidR="00D773AE" w:rsidRDefault="00D773AE" w:rsidP="00D773AE">
      <w:pPr>
        <w:pStyle w:val="Sansinterligne"/>
        <w:tabs>
          <w:tab w:val="left" w:pos="426"/>
        </w:tabs>
        <w:ind w:left="426" w:hanging="426"/>
        <w:jc w:val="both"/>
        <w:rPr>
          <w:rFonts w:ascii="Arial" w:hAnsi="Arial" w:cs="Arial"/>
          <w:b/>
          <w:sz w:val="20"/>
          <w:szCs w:val="20"/>
        </w:rPr>
      </w:pPr>
      <w:r w:rsidRPr="00EB7E6B">
        <w:rPr>
          <w:rFonts w:ascii="Arial" w:hAnsi="Arial" w:cs="Arial"/>
          <w:b/>
          <w:sz w:val="20"/>
          <w:szCs w:val="20"/>
        </w:rPr>
        <w:sym w:font="Wingdings 2" w:char="F06A"/>
      </w:r>
      <w:r w:rsidRPr="00EB7E6B">
        <w:rPr>
          <w:rFonts w:ascii="Arial" w:hAnsi="Arial" w:cs="Arial"/>
          <w:b/>
          <w:sz w:val="20"/>
          <w:szCs w:val="20"/>
        </w:rPr>
        <w:tab/>
      </w:r>
      <w:r>
        <w:rPr>
          <w:rFonts w:ascii="Arial" w:hAnsi="Arial" w:cs="Arial"/>
          <w:b/>
          <w:sz w:val="20"/>
          <w:szCs w:val="20"/>
        </w:rPr>
        <w:t>Acquisition et aménagement d’un bâtiment destiné à l’accueil d’un établissement industriel</w:t>
      </w:r>
    </w:p>
    <w:p w:rsidR="00D773AE" w:rsidRDefault="00D773AE" w:rsidP="00D773AE">
      <w:pPr>
        <w:pStyle w:val="Sansinterligne"/>
        <w:tabs>
          <w:tab w:val="left" w:pos="709"/>
        </w:tabs>
        <w:ind w:left="426"/>
        <w:jc w:val="both"/>
        <w:rPr>
          <w:rFonts w:ascii="Arial" w:hAnsi="Arial" w:cs="Arial"/>
          <w:sz w:val="20"/>
          <w:szCs w:val="20"/>
        </w:rPr>
      </w:pPr>
      <w:r w:rsidRPr="005768A5">
        <w:rPr>
          <w:rFonts w:ascii="Arial" w:hAnsi="Arial" w:cs="Arial"/>
          <w:sz w:val="20"/>
          <w:szCs w:val="20"/>
        </w:rPr>
        <w:t xml:space="preserve">En </w:t>
      </w:r>
      <w:r>
        <w:rPr>
          <w:rFonts w:ascii="Arial" w:hAnsi="Arial" w:cs="Arial"/>
          <w:sz w:val="20"/>
          <w:szCs w:val="20"/>
        </w:rPr>
        <w:t>vue de répondre aux besoins en immobilier d’entreprise au bénéfice d’établissements à vocation industrielle et, ainsi, renforcer ce pôle d’activité sur notre territoire labellisé Territoire d’industrie, l’Intercom de la Vire au Noireau souhaite acquérir et aménager, sur la commune de Vire Normandie, un local d’activité.</w:t>
      </w:r>
    </w:p>
    <w:p w:rsidR="00D773AE" w:rsidRPr="00D67B2D" w:rsidRDefault="00D773AE" w:rsidP="00D773AE">
      <w:pPr>
        <w:pStyle w:val="Sansinterligne"/>
        <w:tabs>
          <w:tab w:val="left" w:pos="709"/>
        </w:tabs>
        <w:ind w:left="426"/>
        <w:jc w:val="both"/>
        <w:rPr>
          <w:rFonts w:ascii="Arial" w:hAnsi="Arial" w:cs="Arial"/>
          <w:sz w:val="6"/>
          <w:szCs w:val="6"/>
        </w:rPr>
      </w:pPr>
    </w:p>
    <w:p w:rsidR="00D773AE" w:rsidRPr="005768A5" w:rsidRDefault="00D773AE" w:rsidP="00D773AE">
      <w:pPr>
        <w:pStyle w:val="Sansinterligne"/>
        <w:tabs>
          <w:tab w:val="left" w:pos="709"/>
        </w:tabs>
        <w:ind w:left="426"/>
        <w:jc w:val="both"/>
        <w:rPr>
          <w:rFonts w:ascii="Arial" w:hAnsi="Arial" w:cs="Arial"/>
          <w:sz w:val="20"/>
          <w:szCs w:val="20"/>
        </w:rPr>
      </w:pPr>
      <w:r>
        <w:rPr>
          <w:rFonts w:ascii="Arial" w:hAnsi="Arial" w:cs="Arial"/>
          <w:sz w:val="20"/>
          <w:szCs w:val="20"/>
        </w:rPr>
        <w:t xml:space="preserve">Le coût de cette opération, estimé à 485 500 € HT, est susceptible de bénéficier d’une subvention au titre de la DETR 2022 de </w:t>
      </w:r>
      <w:r w:rsidRPr="00B418CD">
        <w:rPr>
          <w:rFonts w:ascii="Arial" w:hAnsi="Arial" w:cs="Arial"/>
          <w:b/>
          <w:sz w:val="20"/>
          <w:szCs w:val="20"/>
        </w:rPr>
        <w:t>194 200 €.</w:t>
      </w:r>
    </w:p>
    <w:p w:rsidR="00D773AE" w:rsidRPr="00506A70" w:rsidRDefault="00D773AE" w:rsidP="00D773AE">
      <w:pPr>
        <w:pStyle w:val="Sansinterligne"/>
        <w:tabs>
          <w:tab w:val="left" w:pos="426"/>
        </w:tabs>
        <w:ind w:left="426" w:hanging="426"/>
        <w:jc w:val="both"/>
        <w:rPr>
          <w:rFonts w:ascii="Arial" w:hAnsi="Arial" w:cs="Arial"/>
          <w:b/>
          <w:sz w:val="12"/>
          <w:szCs w:val="12"/>
        </w:rPr>
      </w:pPr>
    </w:p>
    <w:p w:rsidR="00D773AE" w:rsidRPr="00EB7E6B" w:rsidRDefault="00D773AE" w:rsidP="00D67B2D">
      <w:pPr>
        <w:pStyle w:val="Sansinterligne"/>
        <w:tabs>
          <w:tab w:val="left" w:pos="426"/>
        </w:tabs>
        <w:ind w:left="426" w:hanging="426"/>
        <w:jc w:val="both"/>
        <w:rPr>
          <w:rFonts w:ascii="Arial" w:hAnsi="Arial" w:cs="Arial"/>
          <w:b/>
          <w:sz w:val="20"/>
          <w:szCs w:val="20"/>
        </w:rPr>
      </w:pPr>
      <w:r>
        <w:rPr>
          <w:rFonts w:ascii="Arial" w:hAnsi="Arial" w:cs="Arial"/>
          <w:b/>
          <w:sz w:val="20"/>
          <w:szCs w:val="20"/>
        </w:rPr>
        <w:sym w:font="Wingdings" w:char="F082"/>
      </w:r>
      <w:r>
        <w:rPr>
          <w:rFonts w:ascii="Arial" w:hAnsi="Arial" w:cs="Arial"/>
          <w:b/>
          <w:sz w:val="20"/>
          <w:szCs w:val="20"/>
        </w:rPr>
        <w:tab/>
        <w:t xml:space="preserve">Travaux d’aménagement de l’impasse Robert de Mortain sur le Parc d’Activités les </w:t>
      </w:r>
      <w:proofErr w:type="spellStart"/>
      <w:r>
        <w:rPr>
          <w:rFonts w:ascii="Arial" w:hAnsi="Arial" w:cs="Arial"/>
          <w:b/>
          <w:sz w:val="20"/>
          <w:szCs w:val="20"/>
        </w:rPr>
        <w:t>Neuvillières</w:t>
      </w:r>
      <w:proofErr w:type="spellEnd"/>
    </w:p>
    <w:p w:rsidR="00D773AE" w:rsidRDefault="00D773AE" w:rsidP="00D773AE">
      <w:pPr>
        <w:pStyle w:val="Sansinterligne"/>
        <w:tabs>
          <w:tab w:val="left" w:pos="709"/>
        </w:tabs>
        <w:ind w:left="426"/>
        <w:jc w:val="both"/>
        <w:rPr>
          <w:rFonts w:ascii="Arial" w:hAnsi="Arial" w:cs="Arial"/>
          <w:sz w:val="20"/>
          <w:szCs w:val="20"/>
        </w:rPr>
      </w:pPr>
      <w:r>
        <w:rPr>
          <w:rFonts w:ascii="Arial" w:hAnsi="Arial" w:cs="Arial"/>
          <w:sz w:val="20"/>
          <w:szCs w:val="20"/>
        </w:rPr>
        <w:t xml:space="preserve">L’impasse Robert de Mortain part de la rue Guillaume le Conquérant (Pompes Funèbres </w:t>
      </w:r>
      <w:proofErr w:type="spellStart"/>
      <w:r>
        <w:rPr>
          <w:rFonts w:ascii="Arial" w:hAnsi="Arial" w:cs="Arial"/>
          <w:sz w:val="20"/>
          <w:szCs w:val="20"/>
        </w:rPr>
        <w:t>Rougereau</w:t>
      </w:r>
      <w:proofErr w:type="spellEnd"/>
      <w:r>
        <w:rPr>
          <w:rFonts w:ascii="Arial" w:hAnsi="Arial" w:cs="Arial"/>
          <w:sz w:val="20"/>
          <w:szCs w:val="20"/>
        </w:rPr>
        <w:t xml:space="preserve">) et aboutit au nouveau Centre d’Exploitation du Calvados. Il s’agit de la dernière voie du parc d’activités à ne pas encore avoir fait l’objet d’un aménagement définitif (chaussée définitive, création d’un trottoir et éclairage public). </w:t>
      </w:r>
    </w:p>
    <w:p w:rsidR="00D773AE" w:rsidRPr="00D67B2D" w:rsidRDefault="00D773AE" w:rsidP="00D773AE">
      <w:pPr>
        <w:pStyle w:val="Sansinterligne"/>
        <w:tabs>
          <w:tab w:val="left" w:pos="709"/>
        </w:tabs>
        <w:ind w:left="426"/>
        <w:jc w:val="both"/>
        <w:rPr>
          <w:rFonts w:ascii="Arial" w:hAnsi="Arial" w:cs="Arial"/>
          <w:sz w:val="6"/>
          <w:szCs w:val="6"/>
        </w:rPr>
      </w:pPr>
    </w:p>
    <w:p w:rsidR="00D773AE" w:rsidRDefault="00D773AE" w:rsidP="00D773AE">
      <w:pPr>
        <w:pStyle w:val="Sansinterligne"/>
        <w:tabs>
          <w:tab w:val="left" w:pos="709"/>
        </w:tabs>
        <w:ind w:left="426"/>
        <w:jc w:val="both"/>
        <w:rPr>
          <w:rFonts w:ascii="Arial" w:hAnsi="Arial" w:cs="Arial"/>
          <w:sz w:val="20"/>
          <w:szCs w:val="20"/>
        </w:rPr>
      </w:pPr>
      <w:r>
        <w:rPr>
          <w:rFonts w:ascii="Arial" w:hAnsi="Arial" w:cs="Arial"/>
          <w:sz w:val="20"/>
          <w:szCs w:val="20"/>
        </w:rPr>
        <w:t xml:space="preserve">Ces travaux de voirie à réaliser sur l’impasse, estimés à 80 000 € HT, sont susceptibles de bénéficier d’une subvention au titre de la DETR 2022 d’un montant de </w:t>
      </w:r>
      <w:r w:rsidR="00235882" w:rsidRPr="007716D8">
        <w:rPr>
          <w:rFonts w:ascii="Arial" w:hAnsi="Arial" w:cs="Arial"/>
          <w:b/>
          <w:sz w:val="20"/>
          <w:szCs w:val="20"/>
        </w:rPr>
        <w:t>32</w:t>
      </w:r>
      <w:r w:rsidRPr="007716D8">
        <w:rPr>
          <w:rFonts w:ascii="Arial" w:hAnsi="Arial" w:cs="Arial"/>
          <w:b/>
          <w:sz w:val="20"/>
          <w:szCs w:val="20"/>
        </w:rPr>
        <w:t> 000 € HT</w:t>
      </w:r>
      <w:r w:rsidRPr="007716D8">
        <w:rPr>
          <w:rFonts w:ascii="Arial" w:hAnsi="Arial" w:cs="Arial"/>
          <w:sz w:val="20"/>
          <w:szCs w:val="20"/>
        </w:rPr>
        <w:t>.</w:t>
      </w:r>
    </w:p>
    <w:p w:rsidR="00D773AE" w:rsidRPr="0074462F" w:rsidRDefault="00D773AE" w:rsidP="00D773AE">
      <w:pPr>
        <w:pStyle w:val="Sansinterligne"/>
        <w:tabs>
          <w:tab w:val="left" w:pos="709"/>
        </w:tabs>
        <w:ind w:left="426"/>
        <w:jc w:val="both"/>
        <w:rPr>
          <w:rFonts w:ascii="Arial" w:hAnsi="Arial" w:cs="Arial"/>
          <w:sz w:val="12"/>
          <w:szCs w:val="12"/>
        </w:rPr>
      </w:pPr>
    </w:p>
    <w:p w:rsidR="00D773AE" w:rsidRDefault="00D773AE" w:rsidP="00D773AE">
      <w:pPr>
        <w:pStyle w:val="Sansinterligne"/>
        <w:jc w:val="both"/>
        <w:rPr>
          <w:rFonts w:ascii="Arial" w:hAnsi="Arial" w:cs="Arial"/>
          <w:sz w:val="20"/>
          <w:szCs w:val="20"/>
        </w:rPr>
      </w:pPr>
      <w:r>
        <w:rPr>
          <w:rFonts w:ascii="Arial" w:hAnsi="Arial" w:cs="Arial"/>
          <w:sz w:val="20"/>
          <w:szCs w:val="20"/>
        </w:rPr>
        <w:t>Ainsi, le programme de demande de subvention au titre de la DETR 2022 s’établirait comme suit :</w:t>
      </w:r>
    </w:p>
    <w:p w:rsidR="00D773AE" w:rsidRPr="00D67B2D" w:rsidRDefault="00D773AE" w:rsidP="00D773AE">
      <w:pPr>
        <w:pStyle w:val="Sansinterligne"/>
        <w:jc w:val="both"/>
        <w:rPr>
          <w:rFonts w:ascii="Arial" w:hAnsi="Arial" w:cs="Arial"/>
          <w:sz w:val="6"/>
          <w:szCs w:val="6"/>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772"/>
        <w:gridCol w:w="2835"/>
        <w:gridCol w:w="1276"/>
        <w:gridCol w:w="1417"/>
        <w:gridCol w:w="1061"/>
      </w:tblGrid>
      <w:tr w:rsidR="00D773AE" w:rsidRPr="003F0AFE" w:rsidTr="00D67B2D">
        <w:tc>
          <w:tcPr>
            <w:tcW w:w="917" w:type="dxa"/>
            <w:shd w:val="clear" w:color="auto" w:fill="D9D9D9"/>
            <w:vAlign w:val="center"/>
          </w:tcPr>
          <w:p w:rsidR="00D773AE" w:rsidRPr="00126DE1" w:rsidRDefault="00D773AE" w:rsidP="00582BC0">
            <w:pPr>
              <w:pStyle w:val="Sansinterligne"/>
              <w:jc w:val="center"/>
              <w:rPr>
                <w:rFonts w:ascii="Arial" w:hAnsi="Arial" w:cs="Arial"/>
                <w:b/>
                <w:sz w:val="20"/>
                <w:szCs w:val="20"/>
              </w:rPr>
            </w:pPr>
            <w:r w:rsidRPr="00126DE1">
              <w:rPr>
                <w:rFonts w:ascii="Arial" w:hAnsi="Arial" w:cs="Arial"/>
                <w:b/>
                <w:sz w:val="20"/>
                <w:szCs w:val="20"/>
              </w:rPr>
              <w:t>Priorité</w:t>
            </w:r>
          </w:p>
        </w:tc>
        <w:tc>
          <w:tcPr>
            <w:tcW w:w="1772" w:type="dxa"/>
            <w:shd w:val="clear" w:color="auto" w:fill="D9D9D9"/>
            <w:vAlign w:val="center"/>
          </w:tcPr>
          <w:p w:rsidR="00D773AE" w:rsidRPr="00126DE1" w:rsidRDefault="00D773AE" w:rsidP="00582BC0">
            <w:pPr>
              <w:pStyle w:val="Sansinterligne"/>
              <w:jc w:val="center"/>
              <w:rPr>
                <w:rFonts w:ascii="Arial" w:hAnsi="Arial" w:cs="Arial"/>
                <w:b/>
                <w:sz w:val="20"/>
                <w:szCs w:val="20"/>
              </w:rPr>
            </w:pPr>
            <w:r w:rsidRPr="00126DE1">
              <w:rPr>
                <w:rFonts w:ascii="Arial" w:hAnsi="Arial" w:cs="Arial"/>
                <w:b/>
                <w:sz w:val="20"/>
                <w:szCs w:val="20"/>
              </w:rPr>
              <w:t>Localisation</w:t>
            </w:r>
          </w:p>
        </w:tc>
        <w:tc>
          <w:tcPr>
            <w:tcW w:w="2835" w:type="dxa"/>
            <w:shd w:val="clear" w:color="auto" w:fill="D9D9D9"/>
            <w:vAlign w:val="center"/>
          </w:tcPr>
          <w:p w:rsidR="00D773AE" w:rsidRPr="00126DE1" w:rsidRDefault="00D773AE" w:rsidP="00582BC0">
            <w:pPr>
              <w:pStyle w:val="Sansinterligne"/>
              <w:jc w:val="center"/>
              <w:rPr>
                <w:rFonts w:ascii="Arial" w:hAnsi="Arial" w:cs="Arial"/>
                <w:b/>
                <w:sz w:val="20"/>
                <w:szCs w:val="20"/>
              </w:rPr>
            </w:pPr>
            <w:r w:rsidRPr="00126DE1">
              <w:rPr>
                <w:rFonts w:ascii="Arial" w:hAnsi="Arial" w:cs="Arial"/>
                <w:b/>
                <w:sz w:val="20"/>
                <w:szCs w:val="20"/>
              </w:rPr>
              <w:t>Nature de l’opération</w:t>
            </w:r>
          </w:p>
        </w:tc>
        <w:tc>
          <w:tcPr>
            <w:tcW w:w="1276" w:type="dxa"/>
            <w:shd w:val="clear" w:color="auto" w:fill="D9D9D9"/>
            <w:vAlign w:val="center"/>
          </w:tcPr>
          <w:p w:rsidR="00D773AE" w:rsidRPr="00126DE1" w:rsidRDefault="00D773AE" w:rsidP="00582BC0">
            <w:pPr>
              <w:pStyle w:val="Sansinterligne"/>
              <w:jc w:val="center"/>
              <w:rPr>
                <w:rFonts w:ascii="Arial" w:hAnsi="Arial" w:cs="Arial"/>
                <w:b/>
                <w:sz w:val="20"/>
                <w:szCs w:val="20"/>
              </w:rPr>
            </w:pPr>
            <w:r w:rsidRPr="00126DE1">
              <w:rPr>
                <w:rFonts w:ascii="Arial" w:hAnsi="Arial" w:cs="Arial"/>
                <w:b/>
                <w:sz w:val="20"/>
                <w:szCs w:val="20"/>
              </w:rPr>
              <w:t>Coût estimatif HT</w:t>
            </w:r>
          </w:p>
        </w:tc>
        <w:tc>
          <w:tcPr>
            <w:tcW w:w="1417" w:type="dxa"/>
            <w:shd w:val="clear" w:color="auto" w:fill="D9D9D9"/>
            <w:vAlign w:val="center"/>
          </w:tcPr>
          <w:p w:rsidR="00D773AE" w:rsidRPr="00126DE1" w:rsidRDefault="00D773AE" w:rsidP="00582BC0">
            <w:pPr>
              <w:pStyle w:val="Sansinterligne"/>
              <w:jc w:val="center"/>
              <w:rPr>
                <w:rFonts w:ascii="Arial" w:hAnsi="Arial" w:cs="Arial"/>
                <w:b/>
                <w:sz w:val="20"/>
                <w:szCs w:val="20"/>
              </w:rPr>
            </w:pPr>
            <w:r w:rsidRPr="00126DE1">
              <w:rPr>
                <w:rFonts w:ascii="Arial" w:hAnsi="Arial" w:cs="Arial"/>
                <w:b/>
                <w:sz w:val="20"/>
                <w:szCs w:val="20"/>
              </w:rPr>
              <w:t>Subvention DETR sollicitée</w:t>
            </w:r>
          </w:p>
        </w:tc>
        <w:tc>
          <w:tcPr>
            <w:tcW w:w="1061" w:type="dxa"/>
            <w:shd w:val="clear" w:color="auto" w:fill="D9D9D9"/>
            <w:vAlign w:val="center"/>
          </w:tcPr>
          <w:p w:rsidR="00D773AE" w:rsidRPr="00126DE1" w:rsidRDefault="00D773AE" w:rsidP="00582BC0">
            <w:pPr>
              <w:pStyle w:val="Sansinterligne"/>
              <w:jc w:val="center"/>
              <w:rPr>
                <w:rFonts w:ascii="Arial" w:hAnsi="Arial" w:cs="Arial"/>
                <w:b/>
                <w:sz w:val="20"/>
                <w:szCs w:val="20"/>
              </w:rPr>
            </w:pPr>
            <w:r w:rsidRPr="00126DE1">
              <w:rPr>
                <w:rFonts w:ascii="Arial" w:hAnsi="Arial" w:cs="Arial"/>
                <w:b/>
                <w:sz w:val="20"/>
                <w:szCs w:val="20"/>
              </w:rPr>
              <w:t>Taux d’aide</w:t>
            </w:r>
          </w:p>
        </w:tc>
      </w:tr>
      <w:tr w:rsidR="00D773AE" w:rsidRPr="003F0AFE" w:rsidTr="00D67B2D">
        <w:tc>
          <w:tcPr>
            <w:tcW w:w="917" w:type="dxa"/>
            <w:shd w:val="clear" w:color="auto" w:fill="auto"/>
            <w:vAlign w:val="center"/>
          </w:tcPr>
          <w:p w:rsidR="00D773AE" w:rsidRPr="003F0AFE" w:rsidRDefault="00D773AE" w:rsidP="00582BC0">
            <w:pPr>
              <w:pStyle w:val="Sansinterligne"/>
              <w:jc w:val="center"/>
              <w:rPr>
                <w:rFonts w:ascii="Arial" w:hAnsi="Arial" w:cs="Arial"/>
                <w:sz w:val="20"/>
                <w:szCs w:val="20"/>
              </w:rPr>
            </w:pPr>
            <w:r w:rsidRPr="003F0AFE">
              <w:rPr>
                <w:rFonts w:ascii="Arial" w:hAnsi="Arial" w:cs="Arial"/>
                <w:sz w:val="20"/>
                <w:szCs w:val="20"/>
              </w:rPr>
              <w:sym w:font="Wingdings 2" w:char="F06A"/>
            </w:r>
          </w:p>
        </w:tc>
        <w:tc>
          <w:tcPr>
            <w:tcW w:w="1772" w:type="dxa"/>
            <w:shd w:val="clear" w:color="auto" w:fill="auto"/>
            <w:vAlign w:val="center"/>
          </w:tcPr>
          <w:p w:rsidR="00D773AE" w:rsidRPr="003F0AFE" w:rsidRDefault="00D773AE" w:rsidP="00582BC0">
            <w:pPr>
              <w:pStyle w:val="Sansinterligne"/>
              <w:rPr>
                <w:rFonts w:ascii="Arial" w:hAnsi="Arial" w:cs="Arial"/>
                <w:sz w:val="20"/>
                <w:szCs w:val="20"/>
              </w:rPr>
            </w:pPr>
            <w:r>
              <w:rPr>
                <w:rFonts w:ascii="Arial" w:hAnsi="Arial" w:cs="Arial"/>
                <w:sz w:val="20"/>
                <w:szCs w:val="20"/>
              </w:rPr>
              <w:t>Pôle de Vire Normandie</w:t>
            </w:r>
            <w:r w:rsidRPr="003F0AFE">
              <w:rPr>
                <w:rFonts w:ascii="Arial" w:hAnsi="Arial" w:cs="Arial"/>
                <w:sz w:val="20"/>
                <w:szCs w:val="20"/>
              </w:rPr>
              <w:t xml:space="preserve"> </w:t>
            </w:r>
          </w:p>
        </w:tc>
        <w:tc>
          <w:tcPr>
            <w:tcW w:w="2835" w:type="dxa"/>
            <w:shd w:val="clear" w:color="auto" w:fill="auto"/>
          </w:tcPr>
          <w:p w:rsidR="00D773AE" w:rsidRPr="003F0AFE" w:rsidRDefault="00D773AE" w:rsidP="00D67B2D">
            <w:pPr>
              <w:pStyle w:val="Sansinterligne"/>
              <w:jc w:val="both"/>
              <w:rPr>
                <w:rFonts w:ascii="Arial" w:hAnsi="Arial" w:cs="Arial"/>
                <w:sz w:val="20"/>
                <w:szCs w:val="20"/>
              </w:rPr>
            </w:pPr>
            <w:r>
              <w:rPr>
                <w:rFonts w:ascii="Arial" w:hAnsi="Arial" w:cs="Arial"/>
                <w:sz w:val="20"/>
                <w:szCs w:val="20"/>
              </w:rPr>
              <w:t>Acquisition et aménagement d’un bâtiment d’activités industrielles</w:t>
            </w:r>
          </w:p>
        </w:tc>
        <w:tc>
          <w:tcPr>
            <w:tcW w:w="1276" w:type="dxa"/>
            <w:shd w:val="clear" w:color="auto" w:fill="auto"/>
            <w:vAlign w:val="center"/>
          </w:tcPr>
          <w:p w:rsidR="00D773AE" w:rsidRPr="003F0AFE" w:rsidRDefault="00D773AE" w:rsidP="00582BC0">
            <w:pPr>
              <w:pStyle w:val="Sansinterligne"/>
              <w:jc w:val="right"/>
              <w:rPr>
                <w:rFonts w:ascii="Arial" w:hAnsi="Arial" w:cs="Arial"/>
                <w:sz w:val="20"/>
                <w:szCs w:val="20"/>
              </w:rPr>
            </w:pPr>
            <w:r>
              <w:rPr>
                <w:rFonts w:ascii="Arial" w:hAnsi="Arial" w:cs="Arial"/>
                <w:sz w:val="20"/>
                <w:szCs w:val="20"/>
              </w:rPr>
              <w:t>485 500 €</w:t>
            </w:r>
          </w:p>
        </w:tc>
        <w:tc>
          <w:tcPr>
            <w:tcW w:w="1417" w:type="dxa"/>
            <w:shd w:val="clear" w:color="auto" w:fill="auto"/>
            <w:vAlign w:val="center"/>
          </w:tcPr>
          <w:p w:rsidR="00D773AE" w:rsidRPr="00126DE1" w:rsidRDefault="00D773AE" w:rsidP="00582BC0">
            <w:pPr>
              <w:pStyle w:val="Sansinterligne"/>
              <w:jc w:val="right"/>
              <w:rPr>
                <w:rFonts w:ascii="Arial" w:hAnsi="Arial" w:cs="Arial"/>
                <w:b/>
                <w:sz w:val="20"/>
                <w:szCs w:val="20"/>
              </w:rPr>
            </w:pPr>
            <w:r>
              <w:rPr>
                <w:rFonts w:ascii="Arial" w:hAnsi="Arial" w:cs="Arial"/>
                <w:b/>
                <w:sz w:val="20"/>
                <w:szCs w:val="20"/>
              </w:rPr>
              <w:t>194 200 €</w:t>
            </w:r>
          </w:p>
        </w:tc>
        <w:tc>
          <w:tcPr>
            <w:tcW w:w="1061" w:type="dxa"/>
            <w:shd w:val="clear" w:color="auto" w:fill="auto"/>
            <w:vAlign w:val="center"/>
          </w:tcPr>
          <w:p w:rsidR="00D773AE" w:rsidRPr="003F0AFE" w:rsidRDefault="00D773AE" w:rsidP="00582BC0">
            <w:pPr>
              <w:pStyle w:val="Sansinterligne"/>
              <w:jc w:val="center"/>
              <w:rPr>
                <w:rFonts w:ascii="Arial" w:hAnsi="Arial" w:cs="Arial"/>
                <w:sz w:val="20"/>
                <w:szCs w:val="20"/>
              </w:rPr>
            </w:pPr>
            <w:r>
              <w:rPr>
                <w:rFonts w:ascii="Arial" w:hAnsi="Arial" w:cs="Arial"/>
                <w:sz w:val="20"/>
                <w:szCs w:val="20"/>
              </w:rPr>
              <w:t>4</w:t>
            </w:r>
            <w:r w:rsidRPr="003F0AFE">
              <w:rPr>
                <w:rFonts w:ascii="Arial" w:hAnsi="Arial" w:cs="Arial"/>
                <w:sz w:val="20"/>
                <w:szCs w:val="20"/>
              </w:rPr>
              <w:t>0 %</w:t>
            </w:r>
          </w:p>
        </w:tc>
      </w:tr>
      <w:tr w:rsidR="00D773AE" w:rsidRPr="003F0AFE" w:rsidTr="00D67B2D">
        <w:tc>
          <w:tcPr>
            <w:tcW w:w="917" w:type="dxa"/>
            <w:shd w:val="clear" w:color="auto" w:fill="auto"/>
            <w:vAlign w:val="center"/>
          </w:tcPr>
          <w:p w:rsidR="00D773AE" w:rsidRPr="003F0AFE" w:rsidRDefault="00D773AE" w:rsidP="00582BC0">
            <w:pPr>
              <w:pStyle w:val="Sansinterligne"/>
              <w:jc w:val="center"/>
              <w:rPr>
                <w:rFonts w:ascii="Arial" w:hAnsi="Arial" w:cs="Arial"/>
                <w:sz w:val="20"/>
                <w:szCs w:val="20"/>
              </w:rPr>
            </w:pPr>
            <w:r w:rsidRPr="003F0AFE">
              <w:rPr>
                <w:rFonts w:ascii="Arial" w:hAnsi="Arial" w:cs="Arial"/>
                <w:sz w:val="20"/>
                <w:szCs w:val="20"/>
              </w:rPr>
              <w:sym w:font="Wingdings 2" w:char="F06B"/>
            </w:r>
          </w:p>
        </w:tc>
        <w:tc>
          <w:tcPr>
            <w:tcW w:w="1772" w:type="dxa"/>
            <w:shd w:val="clear" w:color="auto" w:fill="auto"/>
            <w:vAlign w:val="center"/>
          </w:tcPr>
          <w:p w:rsidR="00D773AE" w:rsidRPr="003F0AFE" w:rsidRDefault="00D773AE" w:rsidP="00582BC0">
            <w:pPr>
              <w:pStyle w:val="Sansinterligne"/>
              <w:rPr>
                <w:rFonts w:ascii="Arial" w:hAnsi="Arial" w:cs="Arial"/>
                <w:sz w:val="20"/>
                <w:szCs w:val="20"/>
              </w:rPr>
            </w:pPr>
            <w:r>
              <w:rPr>
                <w:rFonts w:ascii="Arial" w:hAnsi="Arial" w:cs="Arial"/>
                <w:sz w:val="20"/>
                <w:szCs w:val="20"/>
              </w:rPr>
              <w:t xml:space="preserve">PAE Les </w:t>
            </w:r>
            <w:proofErr w:type="spellStart"/>
            <w:r>
              <w:rPr>
                <w:rFonts w:ascii="Arial" w:hAnsi="Arial" w:cs="Arial"/>
                <w:sz w:val="20"/>
                <w:szCs w:val="20"/>
              </w:rPr>
              <w:t>Neuvillières</w:t>
            </w:r>
            <w:proofErr w:type="spellEnd"/>
            <w:r>
              <w:rPr>
                <w:rFonts w:ascii="Arial" w:hAnsi="Arial" w:cs="Arial"/>
                <w:sz w:val="20"/>
                <w:szCs w:val="20"/>
              </w:rPr>
              <w:t xml:space="preserve"> (Vire Normandie)</w:t>
            </w:r>
          </w:p>
        </w:tc>
        <w:tc>
          <w:tcPr>
            <w:tcW w:w="2835" w:type="dxa"/>
            <w:shd w:val="clear" w:color="auto" w:fill="auto"/>
          </w:tcPr>
          <w:p w:rsidR="00D773AE" w:rsidRPr="003F0AFE" w:rsidRDefault="00D773AE" w:rsidP="00582BC0">
            <w:pPr>
              <w:pStyle w:val="Sansinterligne"/>
              <w:jc w:val="both"/>
              <w:rPr>
                <w:rFonts w:ascii="Arial" w:hAnsi="Arial" w:cs="Arial"/>
                <w:sz w:val="20"/>
                <w:szCs w:val="20"/>
              </w:rPr>
            </w:pPr>
            <w:r>
              <w:rPr>
                <w:rFonts w:ascii="Arial" w:hAnsi="Arial" w:cs="Arial"/>
                <w:sz w:val="20"/>
                <w:szCs w:val="20"/>
              </w:rPr>
              <w:t>Travaux de structure de voirie sur l’impasse Robert de Mortain</w:t>
            </w:r>
          </w:p>
        </w:tc>
        <w:tc>
          <w:tcPr>
            <w:tcW w:w="1276" w:type="dxa"/>
            <w:shd w:val="clear" w:color="auto" w:fill="auto"/>
            <w:vAlign w:val="center"/>
          </w:tcPr>
          <w:p w:rsidR="00D773AE" w:rsidRPr="003F0AFE" w:rsidRDefault="00D773AE" w:rsidP="00582BC0">
            <w:pPr>
              <w:pStyle w:val="Sansinterligne"/>
              <w:jc w:val="right"/>
              <w:rPr>
                <w:rFonts w:ascii="Arial" w:hAnsi="Arial" w:cs="Arial"/>
                <w:sz w:val="20"/>
                <w:szCs w:val="20"/>
              </w:rPr>
            </w:pPr>
            <w:r>
              <w:rPr>
                <w:rFonts w:ascii="Arial" w:hAnsi="Arial" w:cs="Arial"/>
                <w:sz w:val="20"/>
                <w:szCs w:val="20"/>
              </w:rPr>
              <w:t>80 000 €</w:t>
            </w:r>
          </w:p>
        </w:tc>
        <w:tc>
          <w:tcPr>
            <w:tcW w:w="1417" w:type="dxa"/>
            <w:shd w:val="clear" w:color="auto" w:fill="auto"/>
            <w:vAlign w:val="center"/>
          </w:tcPr>
          <w:p w:rsidR="00D773AE" w:rsidRPr="00126DE1" w:rsidRDefault="00D67B2D" w:rsidP="00582BC0">
            <w:pPr>
              <w:pStyle w:val="Sansinterligne"/>
              <w:jc w:val="right"/>
              <w:rPr>
                <w:rFonts w:ascii="Arial" w:hAnsi="Arial" w:cs="Arial"/>
                <w:b/>
                <w:sz w:val="20"/>
                <w:szCs w:val="20"/>
              </w:rPr>
            </w:pPr>
            <w:r w:rsidRPr="007716D8">
              <w:rPr>
                <w:rFonts w:ascii="Arial" w:hAnsi="Arial" w:cs="Arial"/>
                <w:b/>
                <w:sz w:val="20"/>
                <w:szCs w:val="20"/>
              </w:rPr>
              <w:t>32</w:t>
            </w:r>
            <w:r w:rsidR="00D773AE" w:rsidRPr="007716D8">
              <w:rPr>
                <w:rFonts w:ascii="Arial" w:hAnsi="Arial" w:cs="Arial"/>
                <w:b/>
                <w:sz w:val="20"/>
                <w:szCs w:val="20"/>
              </w:rPr>
              <w:t> 000 €</w:t>
            </w:r>
          </w:p>
        </w:tc>
        <w:tc>
          <w:tcPr>
            <w:tcW w:w="1061" w:type="dxa"/>
            <w:shd w:val="clear" w:color="auto" w:fill="auto"/>
            <w:vAlign w:val="center"/>
          </w:tcPr>
          <w:p w:rsidR="00D773AE" w:rsidRPr="003F0AFE" w:rsidRDefault="00D773AE" w:rsidP="00582BC0">
            <w:pPr>
              <w:pStyle w:val="Sansinterligne"/>
              <w:jc w:val="center"/>
              <w:rPr>
                <w:rFonts w:ascii="Arial" w:hAnsi="Arial" w:cs="Arial"/>
                <w:sz w:val="20"/>
                <w:szCs w:val="20"/>
              </w:rPr>
            </w:pPr>
            <w:r>
              <w:rPr>
                <w:rFonts w:ascii="Arial" w:hAnsi="Arial" w:cs="Arial"/>
                <w:sz w:val="20"/>
                <w:szCs w:val="20"/>
              </w:rPr>
              <w:t>40 %</w:t>
            </w:r>
          </w:p>
        </w:tc>
      </w:tr>
    </w:tbl>
    <w:p w:rsidR="00D773AE" w:rsidRPr="00D67B2D" w:rsidRDefault="00D773AE" w:rsidP="00D773AE">
      <w:pPr>
        <w:pStyle w:val="Sansinterligne"/>
        <w:jc w:val="both"/>
        <w:rPr>
          <w:rFonts w:ascii="Arial" w:hAnsi="Arial" w:cs="Arial"/>
          <w:sz w:val="12"/>
          <w:szCs w:val="12"/>
        </w:rPr>
      </w:pPr>
    </w:p>
    <w:p w:rsidR="00D773AE" w:rsidRPr="0074462F" w:rsidRDefault="00D773AE" w:rsidP="00D773AE">
      <w:pPr>
        <w:pStyle w:val="Sansinterligne"/>
        <w:jc w:val="both"/>
        <w:rPr>
          <w:rFonts w:ascii="Arial" w:hAnsi="Arial" w:cs="Arial"/>
          <w:b/>
          <w:sz w:val="20"/>
          <w:szCs w:val="20"/>
        </w:rPr>
      </w:pPr>
      <w:r w:rsidRPr="0074462F">
        <w:rPr>
          <w:rFonts w:ascii="Arial" w:hAnsi="Arial" w:cs="Arial"/>
          <w:b/>
          <w:sz w:val="20"/>
          <w:szCs w:val="20"/>
        </w:rPr>
        <w:t>Suivant les avis favorables de la commission Attractivité du territoire réunie les 4 novembre et 8 décembre 2021 et du Bureau communautaire réuni le 21 mars 2022, il est proposé au Conseil communautaire de bien vouloir, après en avoir délibéré :</w:t>
      </w:r>
    </w:p>
    <w:p w:rsidR="00D773AE" w:rsidRPr="00D67B2D" w:rsidRDefault="00D773AE" w:rsidP="00D67B2D">
      <w:pPr>
        <w:pStyle w:val="Sansinterligne"/>
        <w:ind w:firstLine="708"/>
        <w:jc w:val="both"/>
        <w:rPr>
          <w:rFonts w:ascii="Arial" w:hAnsi="Arial" w:cs="Arial"/>
          <w:sz w:val="6"/>
          <w:szCs w:val="6"/>
        </w:rPr>
      </w:pPr>
    </w:p>
    <w:p w:rsidR="00D773AE" w:rsidRDefault="00D773AE" w:rsidP="00D773AE">
      <w:pPr>
        <w:pStyle w:val="Sansinterligne"/>
        <w:numPr>
          <w:ilvl w:val="0"/>
          <w:numId w:val="12"/>
        </w:numPr>
        <w:jc w:val="both"/>
        <w:rPr>
          <w:rFonts w:ascii="Arial" w:hAnsi="Arial" w:cs="Arial"/>
          <w:sz w:val="20"/>
          <w:szCs w:val="20"/>
        </w:rPr>
      </w:pPr>
      <w:r>
        <w:rPr>
          <w:rFonts w:ascii="Arial" w:hAnsi="Arial" w:cs="Arial"/>
          <w:sz w:val="20"/>
          <w:szCs w:val="20"/>
        </w:rPr>
        <w:t>Habiliter Monsieur le Président, ou son représentant, à faire toutes les diligences pour solliciter l’obtention de toutes subventions, notamment auprès de l’Etat, dans le cadre de la Dotation d’Equipement des Territoires Ruraux exercice 2022 ou, à</w:t>
      </w:r>
      <w:r w:rsidR="007716D8">
        <w:rPr>
          <w:rFonts w:ascii="Arial" w:hAnsi="Arial" w:cs="Arial"/>
          <w:sz w:val="20"/>
          <w:szCs w:val="20"/>
        </w:rPr>
        <w:t xml:space="preserve"> </w:t>
      </w:r>
      <w:r>
        <w:rPr>
          <w:rFonts w:ascii="Arial" w:hAnsi="Arial" w:cs="Arial"/>
          <w:sz w:val="20"/>
          <w:szCs w:val="20"/>
        </w:rPr>
        <w:t xml:space="preserve">défaut de la DSIL, et d’autres partenaires à identifier, permettant de réduire la charge financière du portage des opérations ci-avant répertoriées et, le cas échéant, à signer les conventions s’y rapportant. </w:t>
      </w:r>
    </w:p>
    <w:p w:rsidR="00D773AE" w:rsidRPr="00D67B2D" w:rsidRDefault="00D773AE" w:rsidP="00D773AE">
      <w:pPr>
        <w:pStyle w:val="Sansinterligne"/>
        <w:ind w:left="72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D67B2D">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D67B2D" w:rsidRPr="003346E0" w:rsidRDefault="00D67B2D" w:rsidP="00D67B2D">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D67B2D" w:rsidTr="00A10972">
        <w:tc>
          <w:tcPr>
            <w:tcW w:w="9210" w:type="dxa"/>
            <w:gridSpan w:val="6"/>
          </w:tcPr>
          <w:p w:rsidR="00D67B2D" w:rsidRDefault="00D67B2D" w:rsidP="00A10972">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D67B2D" w:rsidRPr="003346E0" w:rsidTr="00A10972">
        <w:tc>
          <w:tcPr>
            <w:tcW w:w="9210" w:type="dxa"/>
            <w:gridSpan w:val="6"/>
          </w:tcPr>
          <w:p w:rsidR="00D67B2D" w:rsidRPr="003346E0" w:rsidRDefault="00D67B2D" w:rsidP="00A10972">
            <w:pPr>
              <w:jc w:val="both"/>
              <w:rPr>
                <w:rFonts w:ascii="Arial" w:hAnsi="Arial" w:cs="Arial"/>
                <w:sz w:val="12"/>
                <w:szCs w:val="12"/>
              </w:rPr>
            </w:pPr>
          </w:p>
        </w:tc>
      </w:tr>
      <w:tr w:rsidR="00D67B2D" w:rsidTr="00A10972">
        <w:tc>
          <w:tcPr>
            <w:tcW w:w="1535" w:type="dxa"/>
          </w:tcPr>
          <w:p w:rsidR="00D67B2D" w:rsidRDefault="00D67B2D" w:rsidP="00A10972">
            <w:pPr>
              <w:jc w:val="center"/>
              <w:rPr>
                <w:rFonts w:ascii="Arial" w:hAnsi="Arial" w:cs="Arial"/>
                <w:sz w:val="20"/>
                <w:szCs w:val="20"/>
              </w:rPr>
            </w:pPr>
            <w:r>
              <w:rPr>
                <w:rFonts w:ascii="Arial" w:hAnsi="Arial" w:cs="Arial"/>
                <w:sz w:val="20"/>
                <w:szCs w:val="20"/>
              </w:rPr>
              <w:t>Pour :</w:t>
            </w:r>
          </w:p>
        </w:tc>
        <w:tc>
          <w:tcPr>
            <w:tcW w:w="1535" w:type="dxa"/>
          </w:tcPr>
          <w:p w:rsidR="00D67B2D" w:rsidRPr="009719AB" w:rsidRDefault="00D67B2D" w:rsidP="00A10972">
            <w:pPr>
              <w:jc w:val="center"/>
              <w:rPr>
                <w:rFonts w:ascii="Arial" w:hAnsi="Arial" w:cs="Arial"/>
                <w:b/>
                <w:sz w:val="20"/>
                <w:szCs w:val="20"/>
              </w:rPr>
            </w:pPr>
            <w:r>
              <w:rPr>
                <w:rFonts w:ascii="Arial" w:hAnsi="Arial" w:cs="Arial"/>
                <w:b/>
                <w:sz w:val="20"/>
                <w:szCs w:val="20"/>
              </w:rPr>
              <w:t>49</w:t>
            </w:r>
          </w:p>
        </w:tc>
        <w:tc>
          <w:tcPr>
            <w:tcW w:w="1535" w:type="dxa"/>
          </w:tcPr>
          <w:p w:rsidR="00D67B2D" w:rsidRDefault="00D67B2D" w:rsidP="00A10972">
            <w:pPr>
              <w:jc w:val="center"/>
              <w:rPr>
                <w:rFonts w:ascii="Arial" w:hAnsi="Arial" w:cs="Arial"/>
                <w:sz w:val="20"/>
                <w:szCs w:val="20"/>
              </w:rPr>
            </w:pPr>
            <w:r>
              <w:rPr>
                <w:rFonts w:ascii="Arial" w:hAnsi="Arial" w:cs="Arial"/>
                <w:sz w:val="20"/>
                <w:szCs w:val="20"/>
              </w:rPr>
              <w:t>Contre :</w:t>
            </w:r>
          </w:p>
        </w:tc>
        <w:tc>
          <w:tcPr>
            <w:tcW w:w="1535" w:type="dxa"/>
          </w:tcPr>
          <w:p w:rsidR="00D67B2D" w:rsidRPr="009719AB" w:rsidRDefault="00D67B2D" w:rsidP="00A10972">
            <w:pPr>
              <w:jc w:val="center"/>
              <w:rPr>
                <w:rFonts w:ascii="Arial" w:hAnsi="Arial" w:cs="Arial"/>
                <w:b/>
                <w:sz w:val="20"/>
                <w:szCs w:val="20"/>
              </w:rPr>
            </w:pPr>
            <w:r>
              <w:rPr>
                <w:rFonts w:ascii="Arial" w:hAnsi="Arial" w:cs="Arial"/>
                <w:b/>
                <w:sz w:val="20"/>
                <w:szCs w:val="20"/>
              </w:rPr>
              <w:t>0</w:t>
            </w:r>
          </w:p>
        </w:tc>
        <w:tc>
          <w:tcPr>
            <w:tcW w:w="1535" w:type="dxa"/>
          </w:tcPr>
          <w:p w:rsidR="00D67B2D" w:rsidRDefault="00D67B2D" w:rsidP="00A10972">
            <w:pPr>
              <w:jc w:val="center"/>
              <w:rPr>
                <w:rFonts w:ascii="Arial" w:hAnsi="Arial" w:cs="Arial"/>
                <w:sz w:val="20"/>
                <w:szCs w:val="20"/>
              </w:rPr>
            </w:pPr>
            <w:r>
              <w:rPr>
                <w:rFonts w:ascii="Arial" w:hAnsi="Arial" w:cs="Arial"/>
                <w:sz w:val="20"/>
                <w:szCs w:val="20"/>
              </w:rPr>
              <w:t>Abstentions :</w:t>
            </w:r>
          </w:p>
        </w:tc>
        <w:tc>
          <w:tcPr>
            <w:tcW w:w="1535" w:type="dxa"/>
          </w:tcPr>
          <w:p w:rsidR="00D67B2D" w:rsidRPr="009719AB" w:rsidRDefault="00D67B2D" w:rsidP="00A10972">
            <w:pPr>
              <w:jc w:val="center"/>
              <w:rPr>
                <w:rFonts w:ascii="Arial" w:hAnsi="Arial" w:cs="Arial"/>
                <w:b/>
                <w:sz w:val="20"/>
                <w:szCs w:val="20"/>
              </w:rPr>
            </w:pPr>
            <w:r>
              <w:rPr>
                <w:rFonts w:ascii="Arial" w:hAnsi="Arial" w:cs="Arial"/>
                <w:b/>
                <w:sz w:val="20"/>
                <w:szCs w:val="20"/>
              </w:rPr>
              <w:t>0</w:t>
            </w:r>
          </w:p>
        </w:tc>
      </w:tr>
      <w:tr w:rsidR="00D67B2D" w:rsidRPr="003346E0" w:rsidTr="00A10972">
        <w:tc>
          <w:tcPr>
            <w:tcW w:w="9210" w:type="dxa"/>
            <w:gridSpan w:val="6"/>
          </w:tcPr>
          <w:p w:rsidR="00D67B2D" w:rsidRPr="003346E0" w:rsidRDefault="00D67B2D" w:rsidP="00A10972">
            <w:pPr>
              <w:jc w:val="both"/>
              <w:rPr>
                <w:rFonts w:ascii="Arial" w:hAnsi="Arial" w:cs="Arial"/>
                <w:sz w:val="12"/>
                <w:szCs w:val="12"/>
              </w:rPr>
            </w:pPr>
          </w:p>
        </w:tc>
      </w:tr>
      <w:tr w:rsidR="00D67B2D" w:rsidTr="00A10972">
        <w:tc>
          <w:tcPr>
            <w:tcW w:w="9210" w:type="dxa"/>
            <w:gridSpan w:val="6"/>
          </w:tcPr>
          <w:p w:rsidR="00D67B2D" w:rsidRPr="009719AB" w:rsidRDefault="00D67B2D" w:rsidP="00A10972">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0" w:name="CaseACocher2"/>
            <w:r w:rsidRPr="00C23BEE">
              <w:rPr>
                <w:rFonts w:ascii="Arial" w:hAnsi="Arial" w:cs="Arial"/>
                <w:b/>
                <w:sz w:val="20"/>
                <w:szCs w:val="20"/>
              </w:rPr>
              <w:instrText xml:space="preserve"> FORMCHECKBOX </w:instrText>
            </w:r>
            <w:r w:rsidR="00745EC9">
              <w:rPr>
                <w:rFonts w:ascii="Arial" w:hAnsi="Arial" w:cs="Arial"/>
                <w:b/>
                <w:sz w:val="20"/>
                <w:szCs w:val="20"/>
              </w:rPr>
            </w:r>
            <w:r w:rsidR="00745EC9">
              <w:rPr>
                <w:rFonts w:ascii="Arial" w:hAnsi="Arial" w:cs="Arial"/>
                <w:b/>
                <w:sz w:val="20"/>
                <w:szCs w:val="20"/>
              </w:rPr>
              <w:fldChar w:fldCharType="separate"/>
            </w:r>
            <w:r w:rsidRPr="00C23BEE">
              <w:rPr>
                <w:rFonts w:ascii="Arial" w:hAnsi="Arial" w:cs="Arial"/>
                <w:b/>
                <w:sz w:val="20"/>
                <w:szCs w:val="20"/>
              </w:rPr>
              <w:fldChar w:fldCharType="end"/>
            </w:r>
            <w:bookmarkEnd w:id="0"/>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1" w:name="CaseACocher4"/>
            <w:r>
              <w:rPr>
                <w:rFonts w:ascii="Arial" w:hAnsi="Arial" w:cs="Arial"/>
                <w:b/>
                <w:sz w:val="20"/>
                <w:szCs w:val="20"/>
              </w:rPr>
              <w:instrText xml:space="preserve"> FORMCHECKBOX </w:instrText>
            </w:r>
            <w:r w:rsidR="00745EC9">
              <w:rPr>
                <w:rFonts w:ascii="Arial" w:hAnsi="Arial" w:cs="Arial"/>
                <w:b/>
                <w:sz w:val="20"/>
                <w:szCs w:val="20"/>
              </w:rPr>
            </w:r>
            <w:r w:rsidR="00745EC9">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2" w:name="CaseACocher3"/>
            <w:r w:rsidRPr="00C23BEE">
              <w:rPr>
                <w:rFonts w:ascii="Arial" w:hAnsi="Arial" w:cs="Arial"/>
                <w:b/>
                <w:sz w:val="20"/>
                <w:szCs w:val="20"/>
              </w:rPr>
              <w:instrText xml:space="preserve"> FORMCHECKBOX </w:instrText>
            </w:r>
            <w:r w:rsidR="00745EC9">
              <w:rPr>
                <w:rFonts w:ascii="Arial" w:hAnsi="Arial" w:cs="Arial"/>
                <w:b/>
                <w:sz w:val="20"/>
                <w:szCs w:val="20"/>
              </w:rPr>
            </w:r>
            <w:r w:rsidR="00745EC9">
              <w:rPr>
                <w:rFonts w:ascii="Arial" w:hAnsi="Arial" w:cs="Arial"/>
                <w:b/>
                <w:sz w:val="20"/>
                <w:szCs w:val="20"/>
              </w:rPr>
              <w:fldChar w:fldCharType="separate"/>
            </w:r>
            <w:r w:rsidRPr="00C23BEE">
              <w:rPr>
                <w:rFonts w:ascii="Arial" w:hAnsi="Arial" w:cs="Arial"/>
                <w:b/>
                <w:sz w:val="20"/>
                <w:szCs w:val="20"/>
              </w:rPr>
              <w:fldChar w:fldCharType="end"/>
            </w:r>
            <w:bookmarkEnd w:id="2"/>
            <w:r w:rsidRPr="00C23BEE">
              <w:rPr>
                <w:rFonts w:ascii="Arial" w:hAnsi="Arial" w:cs="Arial"/>
                <w:b/>
                <w:sz w:val="20"/>
                <w:szCs w:val="20"/>
              </w:rPr>
              <w:t xml:space="preserve"> Non adopté</w:t>
            </w:r>
          </w:p>
        </w:tc>
      </w:tr>
    </w:tbl>
    <w:p w:rsidR="007602A6" w:rsidRPr="00D67B2D" w:rsidRDefault="00D67B2D" w:rsidP="00D67B2D">
      <w:pPr>
        <w:pStyle w:val="Paragraphedeliste"/>
        <w:tabs>
          <w:tab w:val="left" w:pos="864"/>
        </w:tabs>
        <w:ind w:left="0"/>
        <w:jc w:val="left"/>
        <w:rPr>
          <w:rFonts w:ascii="Arial" w:hAnsi="Arial" w:cs="Arial"/>
          <w:i/>
          <w:sz w:val="12"/>
          <w:szCs w:val="12"/>
        </w:rPr>
      </w:pPr>
      <w:r>
        <w:rPr>
          <w:rFonts w:ascii="Arial" w:hAnsi="Arial" w:cs="Arial"/>
          <w:i/>
          <w:sz w:val="20"/>
          <w:szCs w:val="20"/>
        </w:rPr>
        <w:tab/>
      </w: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Default="00ED0A6C" w:rsidP="00D67B2D">
      <w:pPr>
        <w:pStyle w:val="Corpsdetexte2"/>
        <w:spacing w:before="120"/>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bookmarkStart w:id="3" w:name="_GoBack"/>
      <w:bookmarkEnd w:id="3"/>
    </w:p>
    <w:sectPr w:rsidR="00137065"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31" w:rsidRDefault="00B53B31">
      <w:r>
        <w:separator/>
      </w:r>
    </w:p>
  </w:endnote>
  <w:endnote w:type="continuationSeparator" w:id="0">
    <w:p w:rsidR="00B53B31" w:rsidRDefault="00B5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745EC9">
      <w:rPr>
        <w:b/>
        <w:noProof/>
      </w:rPr>
      <w:t>4</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745EC9">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31" w:rsidRDefault="00B53B31">
      <w:r>
        <w:separator/>
      </w:r>
    </w:p>
  </w:footnote>
  <w:footnote w:type="continuationSeparator" w:id="0">
    <w:p w:rsidR="00B53B31" w:rsidRDefault="00B5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F56497">
      <w:rPr>
        <w:rFonts w:ascii="Arial" w:hAnsi="Arial" w:cs="Arial"/>
        <w:b/>
        <w:sz w:val="32"/>
        <w:szCs w:val="32"/>
      </w:rPr>
      <w:t>3</w:t>
    </w:r>
    <w:r w:rsidR="00FC7859" w:rsidRPr="00FC7859">
      <w:rPr>
        <w:rFonts w:ascii="Arial" w:hAnsi="Arial" w:cs="Arial"/>
        <w:b/>
        <w:sz w:val="32"/>
        <w:szCs w:val="32"/>
      </w:rPr>
      <w:t>-</w:t>
    </w:r>
    <w:r w:rsidR="00F56497">
      <w:rPr>
        <w:rFonts w:ascii="Arial" w:hAnsi="Arial" w:cs="Arial"/>
        <w:b/>
        <w:sz w:val="32"/>
        <w:szCs w:val="32"/>
      </w:rPr>
      <w:t>3</w:t>
    </w:r>
    <w:r w:rsidR="00623911">
      <w:rPr>
        <w:rFonts w:ascii="Arial" w:hAnsi="Arial" w:cs="Arial"/>
        <w:b/>
        <w:sz w:val="32"/>
        <w:szCs w:val="32"/>
      </w:rPr>
      <w:t>-</w:t>
    </w:r>
    <w:r w:rsidR="00693435">
      <w:rPr>
        <w:rFonts w:ascii="Arial" w:hAnsi="Arial" w:cs="Arial"/>
        <w:b/>
        <w:sz w:val="32"/>
        <w:szCs w:val="32"/>
      </w:rPr>
      <w:t>1</w:t>
    </w:r>
    <w:r w:rsidR="004F4CD6">
      <w:rPr>
        <w:rFonts w:ascii="Arial" w:hAnsi="Arial" w:cs="Arial"/>
        <w:b/>
        <w:sz w:val="32"/>
        <w:szCs w:val="32"/>
      </w:rPr>
      <w:t>0</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04E35"/>
    <w:multiLevelType w:val="hybridMultilevel"/>
    <w:tmpl w:val="C1D45288"/>
    <w:lvl w:ilvl="0" w:tplc="64A467D8">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47F0F"/>
    <w:multiLevelType w:val="hybridMultilevel"/>
    <w:tmpl w:val="67F80B6C"/>
    <w:lvl w:ilvl="0" w:tplc="FFEA67E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31"/>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5882"/>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66DF"/>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4CD6"/>
    <w:rsid w:val="004F52C3"/>
    <w:rsid w:val="004F547A"/>
    <w:rsid w:val="00500AF5"/>
    <w:rsid w:val="00506A70"/>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30CAC"/>
    <w:rsid w:val="00743191"/>
    <w:rsid w:val="00745EC9"/>
    <w:rsid w:val="00746941"/>
    <w:rsid w:val="007602A6"/>
    <w:rsid w:val="007716D8"/>
    <w:rsid w:val="00773742"/>
    <w:rsid w:val="00780A76"/>
    <w:rsid w:val="0078747B"/>
    <w:rsid w:val="00790436"/>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3B3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67B2D"/>
    <w:rsid w:val="00D773AE"/>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BA04AA"/>
  <w15:docId w15:val="{E2432C19-60B9-40D3-9CD5-F99A694E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paragraph" w:customStyle="1" w:styleId="Default">
    <w:name w:val="Default"/>
    <w:rsid w:val="00D773A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A3CD7784243C0AFA30E12D65B97B7"/>
        <w:category>
          <w:name w:val="Général"/>
          <w:gallery w:val="placeholder"/>
        </w:category>
        <w:types>
          <w:type w:val="bbPlcHdr"/>
        </w:types>
        <w:behaviors>
          <w:behavior w:val="content"/>
        </w:behaviors>
        <w:guid w:val="{0C0E820B-6C4F-43EA-AE84-5F677A3A8A3D}"/>
      </w:docPartPr>
      <w:docPartBody>
        <w:p w:rsidR="00D44B5F" w:rsidRDefault="00D44B5F">
          <w:pPr>
            <w:pStyle w:val="0A8A3CD7784243C0AFA30E12D65B97B7"/>
          </w:pPr>
          <w:r w:rsidRPr="00CC3207">
            <w:rPr>
              <w:rStyle w:val="Textedelespacerserv"/>
            </w:rPr>
            <w:t>Choisissez un élément.</w:t>
          </w:r>
        </w:p>
      </w:docPartBody>
    </w:docPart>
    <w:docPart>
      <w:docPartPr>
        <w:name w:val="49B5F8FE8B474831B26254E8423C94DA"/>
        <w:category>
          <w:name w:val="Général"/>
          <w:gallery w:val="placeholder"/>
        </w:category>
        <w:types>
          <w:type w:val="bbPlcHdr"/>
        </w:types>
        <w:behaviors>
          <w:behavior w:val="content"/>
        </w:behaviors>
        <w:guid w:val="{8C4051C8-950D-4CB2-8483-D9155BF0EC08}"/>
      </w:docPartPr>
      <w:docPartBody>
        <w:p w:rsidR="00D44B5F" w:rsidRDefault="00D44B5F">
          <w:pPr>
            <w:pStyle w:val="49B5F8FE8B474831B26254E8423C94DA"/>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5F"/>
    <w:rsid w:val="00D44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0A8A3CD7784243C0AFA30E12D65B97B7">
    <w:name w:val="0A8A3CD7784243C0AFA30E12D65B97B7"/>
  </w:style>
  <w:style w:type="paragraph" w:customStyle="1" w:styleId="49B5F8FE8B474831B26254E8423C94DA">
    <w:name w:val="49B5F8FE8B474831B26254E8423C9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048DA249-E644-424E-A69B-0590F754109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651068-3CA8-48AE-984D-D5233369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100</TotalTime>
  <Pages>4</Pages>
  <Words>1347</Words>
  <Characters>7714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11</cp:revision>
  <cp:lastPrinted>2022-04-07T11:35:00Z</cp:lastPrinted>
  <dcterms:created xsi:type="dcterms:W3CDTF">2022-03-28T07:56:00Z</dcterms:created>
  <dcterms:modified xsi:type="dcterms:W3CDTF">2022-04-07T12:36:00Z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