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F84534" w:rsidRPr="00D64356" w:rsidRDefault="00F84534" w:rsidP="00F84534">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F84534" w:rsidRPr="00D64356" w:rsidRDefault="00F84534" w:rsidP="00F84534">
            <w:pPr>
              <w:rPr>
                <w:rFonts w:ascii="Arial" w:hAnsi="Arial"/>
                <w:sz w:val="20"/>
                <w:szCs w:val="20"/>
              </w:rPr>
            </w:pPr>
            <w:r w:rsidRPr="00D64356">
              <w:rPr>
                <w:rFonts w:ascii="Arial" w:hAnsi="Arial"/>
                <w:sz w:val="20"/>
                <w:szCs w:val="20"/>
              </w:rPr>
              <w:t xml:space="preserve">Nombre de membres présents : </w:t>
            </w:r>
            <w:r w:rsidRPr="00061630">
              <w:rPr>
                <w:rFonts w:ascii="Arial" w:hAnsi="Arial"/>
                <w:b/>
                <w:sz w:val="20"/>
                <w:szCs w:val="20"/>
              </w:rPr>
              <w:t>52</w:t>
            </w:r>
          </w:p>
          <w:p w:rsidR="00F84534" w:rsidRPr="00D64356" w:rsidRDefault="00F84534" w:rsidP="00F84534">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061630">
              <w:rPr>
                <w:rFonts w:ascii="Arial" w:hAnsi="Arial"/>
                <w:b/>
                <w:sz w:val="20"/>
                <w:szCs w:val="20"/>
              </w:rPr>
              <w:t>3</w:t>
            </w:r>
          </w:p>
          <w:p w:rsidR="00F84534" w:rsidRPr="00D64356" w:rsidRDefault="00F84534" w:rsidP="00F84534">
            <w:pPr>
              <w:rPr>
                <w:rFonts w:ascii="Arial" w:hAnsi="Arial"/>
                <w:sz w:val="20"/>
                <w:szCs w:val="20"/>
              </w:rPr>
            </w:pPr>
            <w:r w:rsidRPr="00D64356">
              <w:rPr>
                <w:rFonts w:ascii="Arial" w:hAnsi="Arial"/>
                <w:sz w:val="20"/>
                <w:szCs w:val="20"/>
              </w:rPr>
              <w:t>Nombre de membres excusés :</w:t>
            </w:r>
            <w:r w:rsidRPr="006D63F5">
              <w:rPr>
                <w:rFonts w:ascii="Arial" w:hAnsi="Arial"/>
                <w:b/>
                <w:sz w:val="20"/>
                <w:szCs w:val="20"/>
              </w:rPr>
              <w:t xml:space="preserve"> 2</w:t>
            </w:r>
          </w:p>
          <w:p w:rsidR="00D278EF" w:rsidRDefault="00F84534" w:rsidP="00F84534">
            <w:r w:rsidRPr="00D64356">
              <w:rPr>
                <w:rFonts w:ascii="Arial" w:hAnsi="Arial"/>
                <w:sz w:val="20"/>
                <w:szCs w:val="20"/>
              </w:rPr>
              <w:t>Nombre de membres absents :</w:t>
            </w:r>
            <w:r w:rsidRPr="006D63F5">
              <w:rPr>
                <w:rFonts w:ascii="Arial" w:hAnsi="Arial"/>
                <w:b/>
                <w:sz w:val="20"/>
                <w:szCs w:val="20"/>
              </w:rPr>
              <w:t xml:space="preserve"> 4</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B94C70" w:rsidP="00D278EF">
            <w:pPr>
              <w:rPr>
                <w:rFonts w:ascii="Arial" w:hAnsi="Arial" w:cs="Arial"/>
                <w:b/>
                <w:sz w:val="20"/>
                <w:szCs w:val="20"/>
              </w:rPr>
            </w:pPr>
            <w:r>
              <w:rPr>
                <w:rFonts w:ascii="Arial" w:hAnsi="Arial" w:cs="Arial"/>
                <w:b/>
                <w:sz w:val="20"/>
                <w:szCs w:val="20"/>
              </w:rPr>
              <w:t>18 février</w:t>
            </w:r>
            <w:r w:rsidR="00D11455">
              <w:rPr>
                <w:rFonts w:ascii="Arial" w:hAnsi="Arial" w:cs="Arial"/>
                <w:b/>
                <w:sz w:val="20"/>
                <w:szCs w:val="20"/>
              </w:rPr>
              <w:t xml:space="preserve"> 202</w:t>
            </w:r>
            <w:r w:rsidR="00295C6E">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r>
              <w:rPr>
                <w:rFonts w:ascii="Arial" w:hAnsi="Arial"/>
                <w:b/>
                <w:color w:val="003300"/>
                <w:sz w:val="20"/>
                <w:szCs w:val="20"/>
              </w:rPr>
              <w:t>e</w:t>
            </w:r>
            <w:r w:rsidR="001F349C">
              <w:rPr>
                <w:rFonts w:ascii="Arial" w:hAnsi="Arial"/>
                <w:b/>
                <w:color w:val="003300"/>
                <w:sz w:val="20"/>
                <w:szCs w:val="20"/>
              </w:rPr>
              <w:t xml:space="preserve">t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54616F"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BFEBA"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54616F"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A3BE6"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B94C70">
              <w:rPr>
                <w:b/>
                <w:sz w:val="20"/>
              </w:rPr>
              <w:t>24 Févr</w:t>
            </w:r>
            <w:r w:rsidR="00295C6E">
              <w:rPr>
                <w:b/>
                <w:sz w:val="20"/>
              </w:rPr>
              <w:t>ier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B94C70">
              <w:t>24 février</w:t>
            </w:r>
            <w:r w:rsidR="00AA4221">
              <w:t xml:space="preserve"> à 20h30, le </w:t>
            </w:r>
            <w:r>
              <w:t>c</w:t>
            </w:r>
            <w:r w:rsidR="00AA4221">
              <w:t xml:space="preserve">onseil </w:t>
            </w:r>
            <w:r>
              <w:t>c</w:t>
            </w:r>
            <w:r w:rsidR="00AA4221">
              <w:t xml:space="preserve">ommunautaire de l’Intercom de la Vire au Noireau </w:t>
            </w:r>
            <w:r w:rsidR="003B1CFC">
              <w:t xml:space="preserve">s’est réuni </w:t>
            </w:r>
            <w:r w:rsidR="00B94C70">
              <w:t xml:space="preserve">en salle des mariages de l’Hôtel de Ville de Vire, lieu habituel choisi pour la tenue de ces séances, sous la présidence de </w:t>
            </w:r>
            <w:r w:rsidR="00B94C70">
              <w:br/>
              <w:t>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B94C70">
              <w:t>18 février</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B94C70">
              <w:t>18 février</w:t>
            </w:r>
            <w:r w:rsidR="00295C6E">
              <w:t xml:space="preserve">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F84534" w:rsidP="003346E0">
            <w:pPr>
              <w:pStyle w:val="Corpsdetexte2"/>
              <w:ind w:left="72" w:right="214"/>
            </w:pPr>
            <w:r>
              <w:rPr>
                <w:rFonts w:cs="Arial"/>
              </w:rPr>
              <w:t xml:space="preserve">M. Corentin GOETHALS a été </w:t>
            </w:r>
            <w:r w:rsidRPr="002C3542">
              <w:rPr>
                <w:rFonts w:cs="Arial"/>
              </w:rPr>
              <w:t>nommé</w:t>
            </w:r>
            <w:r>
              <w:rPr>
                <w:rFonts w:cs="Arial"/>
              </w:rPr>
              <w:t xml:space="preserv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6782F1BEA86A48A9A5DB95FA99839861"/>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EndPr>
              <w:rPr>
                <w:rStyle w:val="Style7"/>
              </w:rPr>
            </w:sdtEndPr>
            <w:sdtContent>
              <w:p w:rsidR="00D278EF" w:rsidRPr="001838C7" w:rsidRDefault="008F72A8" w:rsidP="00D278EF">
                <w:pPr>
                  <w:ind w:left="356" w:hanging="356"/>
                  <w:rPr>
                    <w:rFonts w:ascii="Arial" w:hAnsi="Arial" w:cs="Arial"/>
                    <w:b/>
                    <w:sz w:val="20"/>
                    <w:szCs w:val="20"/>
                    <w:u w:val="single"/>
                  </w:rPr>
                </w:pPr>
                <w:r>
                  <w:rPr>
                    <w:rStyle w:val="Style7"/>
                  </w:rPr>
                  <w:t>4 - Fonction Publique</w:t>
                </w:r>
              </w:p>
            </w:sdtContent>
          </w:sdt>
          <w:sdt>
            <w:sdtPr>
              <w:rPr>
                <w:rStyle w:val="Style8"/>
              </w:rPr>
              <w:id w:val="18689017"/>
              <w:placeholder>
                <w:docPart w:val="6782F1BEA86A48A9A5DB95FA99839861"/>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D278EF" w:rsidRPr="00970D0E" w:rsidRDefault="008F72A8" w:rsidP="00D278EF">
                <w:pPr>
                  <w:rPr>
                    <w:rFonts w:ascii="Arial" w:hAnsi="Arial" w:cs="Arial"/>
                    <w:b/>
                    <w:sz w:val="20"/>
                    <w:szCs w:val="20"/>
                  </w:rPr>
                </w:pPr>
                <w:r>
                  <w:rPr>
                    <w:rStyle w:val="Style8"/>
                  </w:rPr>
                  <w:t>4.1 - Personnel titulaires et stagiaires de la Fonction Publique Territoriale (F.P.T.)</w:t>
                </w:r>
              </w:p>
            </w:sdtContent>
          </w:sdt>
          <w:sdt>
            <w:sdtPr>
              <w:rPr>
                <w:rStyle w:val="Style8"/>
              </w:rPr>
              <w:id w:val="-282183786"/>
              <w:placeholder>
                <w:docPart w:val="582F0311725A41E2967058E6A64A3927"/>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8F72A8" w:rsidRDefault="008F72A8" w:rsidP="008F72A8">
                <w:pPr>
                  <w:rPr>
                    <w:rStyle w:val="Style8"/>
                  </w:rPr>
                </w:pPr>
                <w:r>
                  <w:rPr>
                    <w:rStyle w:val="Style8"/>
                  </w:rPr>
                  <w:t>4.2 - Personnel contractuel</w:t>
                </w:r>
              </w:p>
            </w:sdtContent>
          </w:sdt>
          <w:p w:rsidR="00D278EF" w:rsidRPr="003346E0" w:rsidRDefault="00D278EF" w:rsidP="00727EF8">
            <w:pPr>
              <w:rPr>
                <w:rFonts w:ascii="Arial" w:hAnsi="Arial" w:cs="Arial"/>
                <w:b/>
                <w:sz w:val="12"/>
                <w:szCs w:val="12"/>
                <w:u w:val="single"/>
              </w:rPr>
            </w:pPr>
          </w:p>
          <w:p w:rsidR="00727EF8" w:rsidRPr="00E41260" w:rsidRDefault="0019330A" w:rsidP="00624F40">
            <w:pPr>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624F40" w:rsidRPr="00624F40">
              <w:rPr>
                <w:rFonts w:ascii="Arial" w:hAnsi="Arial" w:cs="Arial"/>
                <w:b/>
                <w:bCs/>
                <w:sz w:val="20"/>
                <w:szCs w:val="20"/>
              </w:rPr>
              <w:t>D</w:t>
            </w:r>
            <w:r w:rsidR="00624F40" w:rsidRPr="00624F40">
              <w:rPr>
                <w:rFonts w:ascii="Arial" w:hAnsi="Arial" w:cs="Arial"/>
                <w:b/>
                <w:sz w:val="20"/>
                <w:szCs w:val="20"/>
              </w:rPr>
              <w:t>ébat de l’assemblée délibérante sur la protection sociale complémentaire</w:t>
            </w:r>
          </w:p>
        </w:tc>
      </w:tr>
    </w:tbl>
    <w:p w:rsidR="00F84534" w:rsidRPr="001C3DF2" w:rsidRDefault="00F84534" w:rsidP="00F84534">
      <w:pPr>
        <w:ind w:right="-851"/>
        <w:jc w:val="both"/>
        <w:rPr>
          <w:rFonts w:ascii="Arial" w:hAnsi="Arial" w:cs="Arial"/>
          <w:sz w:val="12"/>
          <w:szCs w:val="12"/>
        </w:rPr>
      </w:pPr>
    </w:p>
    <w:tbl>
      <w:tblPr>
        <w:tblW w:w="10040" w:type="dxa"/>
        <w:tblInd w:w="-294" w:type="dxa"/>
        <w:tblCellMar>
          <w:left w:w="70" w:type="dxa"/>
          <w:right w:w="70" w:type="dxa"/>
        </w:tblCellMar>
        <w:tblLook w:val="04A0" w:firstRow="1" w:lastRow="0" w:firstColumn="1" w:lastColumn="0" w:noHBand="0" w:noVBand="1"/>
      </w:tblPr>
      <w:tblGrid>
        <w:gridCol w:w="2839"/>
        <w:gridCol w:w="901"/>
        <w:gridCol w:w="2040"/>
        <w:gridCol w:w="2260"/>
        <w:gridCol w:w="1120"/>
        <w:gridCol w:w="880"/>
      </w:tblGrid>
      <w:tr w:rsidR="00F84534" w:rsidTr="00FF4A3B">
        <w:trPr>
          <w:trHeight w:val="192"/>
        </w:trPr>
        <w:tc>
          <w:tcPr>
            <w:tcW w:w="28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Absents</w:t>
            </w:r>
          </w:p>
        </w:tc>
      </w:tr>
      <w:tr w:rsidR="00F84534" w:rsidTr="00FF4A3B">
        <w:trPr>
          <w:trHeight w:val="1632"/>
        </w:trPr>
        <w:tc>
          <w:tcPr>
            <w:tcW w:w="2839" w:type="dxa"/>
            <w:vMerge/>
            <w:tcBorders>
              <w:top w:val="single" w:sz="8" w:space="0" w:color="auto"/>
              <w:left w:val="single" w:sz="8" w:space="0" w:color="auto"/>
              <w:bottom w:val="single" w:sz="8" w:space="0" w:color="000000"/>
              <w:right w:val="single" w:sz="4" w:space="0" w:color="auto"/>
            </w:tcBorders>
            <w:vAlign w:val="center"/>
            <w:hideMark/>
          </w:tcPr>
          <w:p w:rsidR="00F84534" w:rsidRDefault="00F84534" w:rsidP="00FF4A3B">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F84534" w:rsidRDefault="00F84534" w:rsidP="00FF4A3B">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F84534" w:rsidRDefault="00F84534" w:rsidP="00FF4A3B">
            <w:pPr>
              <w:rPr>
                <w:rFonts w:ascii="Arial" w:hAnsi="Arial" w:cs="Arial"/>
                <w:b/>
                <w:bCs/>
                <w:color w:val="000000"/>
                <w:sz w:val="18"/>
                <w:szCs w:val="18"/>
              </w:rPr>
            </w:pP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204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112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88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r>
      <w:tr w:rsidR="00F84534" w:rsidTr="00FF4A3B">
        <w:trPr>
          <w:trHeight w:val="109"/>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F84534" w:rsidTr="00FF4A3B">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Xavier ANCKAERT</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F84534" w:rsidRDefault="00F84534" w:rsidP="00FF4A3B">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 xml:space="preserve">Mme Nathalie BOUILLARD </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r>
      <w:tr w:rsidR="00F84534" w:rsidTr="00FF4A3B">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Catherine CAILLY</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 xml:space="preserve">M. Pascal DALIGAULT </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Sylvain DELANGE</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 xml:space="preserve">Mme Valérie DESQUESNE </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 xml:space="preserve">M. Jean ELISABETH </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72"/>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 xml:space="preserve">Mme Najat LEMERAY </w:t>
            </w:r>
          </w:p>
        </w:tc>
        <w:tc>
          <w:tcPr>
            <w:tcW w:w="901"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F84534" w:rsidRDefault="00F84534" w:rsidP="00FF4A3B">
            <w:pPr>
              <w:ind w:hanging="39"/>
              <w:jc w:val="center"/>
              <w:rPr>
                <w:rFonts w:ascii="Calibri" w:hAnsi="Calibri"/>
                <w:b/>
                <w:bCs/>
                <w:color w:val="000000"/>
                <w:sz w:val="18"/>
                <w:szCs w:val="18"/>
              </w:rPr>
            </w:pPr>
            <w:r>
              <w:rPr>
                <w:rFonts w:ascii="Calibri" w:hAnsi="Calibri"/>
                <w:b/>
                <w:bCs/>
                <w:color w:val="000000"/>
                <w:sz w:val="18"/>
                <w:szCs w:val="18"/>
              </w:rPr>
              <w:t>X : Mme Valérie DESQUESNE</w:t>
            </w:r>
          </w:p>
        </w:tc>
        <w:tc>
          <w:tcPr>
            <w:tcW w:w="1120"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204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1120" w:type="dxa"/>
            <w:tcBorders>
              <w:top w:val="nil"/>
              <w:left w:val="nil"/>
              <w:bottom w:val="nil"/>
              <w:right w:val="nil"/>
            </w:tcBorders>
            <w:shd w:val="clear" w:color="auto" w:fill="auto"/>
            <w:noWrap/>
            <w:vAlign w:val="center"/>
            <w:hideMark/>
          </w:tcPr>
          <w:p w:rsidR="00F84534" w:rsidRDefault="00F84534" w:rsidP="00FF4A3B">
            <w:pPr>
              <w:jc w:val="center"/>
              <w:rPr>
                <w:sz w:val="20"/>
                <w:szCs w:val="20"/>
              </w:rPr>
            </w:pPr>
          </w:p>
        </w:tc>
        <w:tc>
          <w:tcPr>
            <w:tcW w:w="880" w:type="dxa"/>
            <w:tcBorders>
              <w:top w:val="nil"/>
              <w:left w:val="nil"/>
              <w:bottom w:val="nil"/>
              <w:right w:val="nil"/>
            </w:tcBorders>
            <w:shd w:val="clear" w:color="auto" w:fill="auto"/>
            <w:noWrap/>
            <w:vAlign w:val="center"/>
            <w:hideMark/>
          </w:tcPr>
          <w:p w:rsidR="00F84534" w:rsidRDefault="00F84534" w:rsidP="00FF4A3B">
            <w:pPr>
              <w:jc w:val="center"/>
              <w:rPr>
                <w:sz w:val="20"/>
                <w:szCs w:val="20"/>
              </w:rPr>
            </w:pPr>
          </w:p>
        </w:tc>
      </w:tr>
      <w:tr w:rsidR="00F84534" w:rsidTr="00FF4A3B">
        <w:trPr>
          <w:trHeight w:val="165"/>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LA VILLETTE</w:t>
            </w:r>
          </w:p>
        </w:tc>
      </w:tr>
      <w:tr w:rsidR="00F84534" w:rsidTr="00FF4A3B">
        <w:trPr>
          <w:trHeight w:val="272"/>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Daniel BREARD</w:t>
            </w:r>
          </w:p>
        </w:tc>
        <w:tc>
          <w:tcPr>
            <w:tcW w:w="901"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204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noWrap/>
            <w:vAlign w:val="bottom"/>
            <w:hideMark/>
          </w:tcPr>
          <w:p w:rsidR="00F84534" w:rsidRDefault="00F84534" w:rsidP="00FF4A3B">
            <w:pPr>
              <w:rPr>
                <w:sz w:val="20"/>
                <w:szCs w:val="20"/>
              </w:rPr>
            </w:pPr>
          </w:p>
        </w:tc>
        <w:tc>
          <w:tcPr>
            <w:tcW w:w="1120"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880" w:type="dxa"/>
            <w:tcBorders>
              <w:top w:val="nil"/>
              <w:left w:val="nil"/>
              <w:bottom w:val="nil"/>
              <w:right w:val="nil"/>
            </w:tcBorders>
            <w:shd w:val="clear" w:color="auto" w:fill="auto"/>
            <w:noWrap/>
            <w:vAlign w:val="center"/>
            <w:hideMark/>
          </w:tcPr>
          <w:p w:rsidR="00F84534" w:rsidRDefault="00F84534" w:rsidP="00FF4A3B">
            <w:pPr>
              <w:jc w:val="center"/>
              <w:rPr>
                <w:sz w:val="20"/>
                <w:szCs w:val="20"/>
              </w:rPr>
            </w:pPr>
          </w:p>
        </w:tc>
      </w:tr>
      <w:tr w:rsidR="00F84534" w:rsidTr="00FF4A3B">
        <w:trPr>
          <w:trHeight w:val="190"/>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PERIGNY</w:t>
            </w:r>
          </w:p>
        </w:tc>
      </w:tr>
      <w:tr w:rsidR="00F84534" w:rsidTr="00FF4A3B">
        <w:trPr>
          <w:trHeight w:val="272"/>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Jean-Christophe MEUNIER</w:t>
            </w:r>
          </w:p>
        </w:tc>
        <w:tc>
          <w:tcPr>
            <w:tcW w:w="901"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bl>
    <w:p w:rsidR="00F84534" w:rsidRDefault="00F84534" w:rsidP="00F84534">
      <w:r>
        <w:br w:type="page"/>
      </w:r>
    </w:p>
    <w:tbl>
      <w:tblPr>
        <w:tblW w:w="10040" w:type="dxa"/>
        <w:tblInd w:w="-294" w:type="dxa"/>
        <w:tblCellMar>
          <w:left w:w="70" w:type="dxa"/>
          <w:right w:w="70" w:type="dxa"/>
        </w:tblCellMar>
        <w:tblLook w:val="04A0" w:firstRow="1" w:lastRow="0" w:firstColumn="1" w:lastColumn="0" w:noHBand="0" w:noVBand="1"/>
      </w:tblPr>
      <w:tblGrid>
        <w:gridCol w:w="2839"/>
        <w:gridCol w:w="901"/>
        <w:gridCol w:w="2040"/>
        <w:gridCol w:w="2260"/>
        <w:gridCol w:w="1120"/>
        <w:gridCol w:w="880"/>
      </w:tblGrid>
      <w:tr w:rsidR="00F84534" w:rsidTr="00FF4A3B">
        <w:trPr>
          <w:trHeight w:val="192"/>
        </w:trPr>
        <w:tc>
          <w:tcPr>
            <w:tcW w:w="28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Absents</w:t>
            </w:r>
          </w:p>
        </w:tc>
      </w:tr>
      <w:tr w:rsidR="00F84534" w:rsidTr="00FF4A3B">
        <w:trPr>
          <w:trHeight w:val="1632"/>
        </w:trPr>
        <w:tc>
          <w:tcPr>
            <w:tcW w:w="2839" w:type="dxa"/>
            <w:vMerge/>
            <w:tcBorders>
              <w:top w:val="single" w:sz="8" w:space="0" w:color="auto"/>
              <w:left w:val="single" w:sz="8" w:space="0" w:color="auto"/>
              <w:bottom w:val="single" w:sz="8" w:space="0" w:color="000000"/>
              <w:right w:val="single" w:sz="4" w:space="0" w:color="auto"/>
            </w:tcBorders>
            <w:vAlign w:val="center"/>
            <w:hideMark/>
          </w:tcPr>
          <w:p w:rsidR="00F84534" w:rsidRDefault="00F84534" w:rsidP="00FF4A3B">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F84534" w:rsidRDefault="00F84534" w:rsidP="00FF4A3B">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F84534" w:rsidRDefault="00F84534" w:rsidP="00FF4A3B">
            <w:pPr>
              <w:rPr>
                <w:rFonts w:ascii="Arial" w:hAnsi="Arial" w:cs="Arial"/>
                <w:b/>
                <w:bCs/>
                <w:color w:val="000000"/>
                <w:sz w:val="18"/>
                <w:szCs w:val="18"/>
              </w:rPr>
            </w:pP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204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112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88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r>
      <w:tr w:rsidR="00F84534" w:rsidTr="00FF4A3B">
        <w:trPr>
          <w:trHeight w:val="195"/>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PONTECOULANT</w:t>
            </w:r>
          </w:p>
        </w:tc>
      </w:tr>
      <w:tr w:rsidR="00F84534"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Jean-Pierre MOURICE</w:t>
            </w:r>
          </w:p>
        </w:tc>
        <w:tc>
          <w:tcPr>
            <w:tcW w:w="901"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204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vAlign w:val="center"/>
            <w:hideMark/>
          </w:tcPr>
          <w:p w:rsidR="00F84534" w:rsidRDefault="00F84534" w:rsidP="00FF4A3B">
            <w:pPr>
              <w:rPr>
                <w:sz w:val="20"/>
                <w:szCs w:val="20"/>
              </w:rPr>
            </w:pPr>
          </w:p>
        </w:tc>
        <w:tc>
          <w:tcPr>
            <w:tcW w:w="1120" w:type="dxa"/>
            <w:tcBorders>
              <w:top w:val="nil"/>
              <w:left w:val="nil"/>
              <w:bottom w:val="nil"/>
              <w:right w:val="nil"/>
            </w:tcBorders>
            <w:shd w:val="clear" w:color="auto" w:fill="auto"/>
            <w:noWrap/>
            <w:vAlign w:val="center"/>
            <w:hideMark/>
          </w:tcPr>
          <w:p w:rsidR="00F84534" w:rsidRDefault="00F84534" w:rsidP="00FF4A3B">
            <w:pPr>
              <w:jc w:val="center"/>
              <w:rPr>
                <w:sz w:val="20"/>
                <w:szCs w:val="20"/>
              </w:rPr>
            </w:pPr>
          </w:p>
        </w:tc>
        <w:tc>
          <w:tcPr>
            <w:tcW w:w="88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r>
      <w:tr w:rsidR="00F84534" w:rsidTr="00FF4A3B">
        <w:trPr>
          <w:trHeight w:val="234"/>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F84534"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Manuel MACHADO</w:t>
            </w:r>
          </w:p>
        </w:tc>
        <w:tc>
          <w:tcPr>
            <w:tcW w:w="901"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204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1120" w:type="dxa"/>
            <w:tcBorders>
              <w:top w:val="nil"/>
              <w:left w:val="nil"/>
              <w:bottom w:val="nil"/>
              <w:right w:val="nil"/>
            </w:tcBorders>
            <w:shd w:val="clear" w:color="auto" w:fill="auto"/>
            <w:noWrap/>
            <w:vAlign w:val="center"/>
            <w:hideMark/>
          </w:tcPr>
          <w:p w:rsidR="00F84534" w:rsidRDefault="00F84534" w:rsidP="00FF4A3B">
            <w:pPr>
              <w:jc w:val="center"/>
              <w:rPr>
                <w:sz w:val="20"/>
                <w:szCs w:val="20"/>
              </w:rPr>
            </w:pPr>
          </w:p>
        </w:tc>
        <w:tc>
          <w:tcPr>
            <w:tcW w:w="880" w:type="dxa"/>
            <w:tcBorders>
              <w:top w:val="nil"/>
              <w:left w:val="nil"/>
              <w:bottom w:val="nil"/>
              <w:right w:val="nil"/>
            </w:tcBorders>
            <w:shd w:val="clear" w:color="auto" w:fill="auto"/>
            <w:noWrap/>
            <w:vAlign w:val="center"/>
            <w:hideMark/>
          </w:tcPr>
          <w:p w:rsidR="00F84534" w:rsidRDefault="00F84534" w:rsidP="00FF4A3B">
            <w:pPr>
              <w:jc w:val="center"/>
              <w:rPr>
                <w:sz w:val="20"/>
                <w:szCs w:val="20"/>
              </w:rPr>
            </w:pPr>
          </w:p>
        </w:tc>
      </w:tr>
      <w:tr w:rsidR="00F84534" w:rsidTr="00FF4A3B">
        <w:trPr>
          <w:trHeight w:val="216"/>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F84534"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 xml:space="preserve">M. Jean TURMEL </w:t>
            </w:r>
          </w:p>
        </w:tc>
        <w:tc>
          <w:tcPr>
            <w:tcW w:w="901"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F84534" w:rsidRDefault="00F84534" w:rsidP="00FF4A3B">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204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c>
          <w:tcPr>
            <w:tcW w:w="1120" w:type="dxa"/>
            <w:tcBorders>
              <w:top w:val="nil"/>
              <w:left w:val="nil"/>
              <w:bottom w:val="nil"/>
              <w:right w:val="nil"/>
            </w:tcBorders>
            <w:shd w:val="clear" w:color="auto" w:fill="auto"/>
            <w:noWrap/>
            <w:vAlign w:val="bottom"/>
            <w:hideMark/>
          </w:tcPr>
          <w:p w:rsidR="00F84534" w:rsidRDefault="00F84534" w:rsidP="00FF4A3B">
            <w:pPr>
              <w:rPr>
                <w:sz w:val="20"/>
                <w:szCs w:val="20"/>
              </w:rPr>
            </w:pPr>
          </w:p>
        </w:tc>
        <w:tc>
          <w:tcPr>
            <w:tcW w:w="880" w:type="dxa"/>
            <w:tcBorders>
              <w:top w:val="nil"/>
              <w:left w:val="nil"/>
              <w:bottom w:val="nil"/>
              <w:right w:val="nil"/>
            </w:tcBorders>
            <w:shd w:val="clear" w:color="auto" w:fill="auto"/>
            <w:noWrap/>
            <w:vAlign w:val="center"/>
            <w:hideMark/>
          </w:tcPr>
          <w:p w:rsidR="00F84534" w:rsidRDefault="00F84534" w:rsidP="00FF4A3B">
            <w:pPr>
              <w:rPr>
                <w:sz w:val="20"/>
                <w:szCs w:val="20"/>
              </w:rPr>
            </w:pPr>
          </w:p>
        </w:tc>
      </w:tr>
      <w:tr w:rsidR="00F84534" w:rsidTr="00FF4A3B">
        <w:trPr>
          <w:trHeight w:val="240"/>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BEAUMESNIL</w:t>
            </w:r>
          </w:p>
        </w:tc>
      </w:tr>
      <w:tr w:rsidR="00F84534"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Gilles PORQUET</w:t>
            </w:r>
          </w:p>
        </w:tc>
        <w:tc>
          <w:tcPr>
            <w:tcW w:w="901"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204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noWrap/>
            <w:vAlign w:val="bottom"/>
            <w:hideMark/>
          </w:tcPr>
          <w:p w:rsidR="00F84534" w:rsidRDefault="00F84534" w:rsidP="00FF4A3B">
            <w:pPr>
              <w:rPr>
                <w:sz w:val="20"/>
                <w:szCs w:val="20"/>
              </w:rPr>
            </w:pPr>
          </w:p>
        </w:tc>
        <w:tc>
          <w:tcPr>
            <w:tcW w:w="1120" w:type="dxa"/>
            <w:tcBorders>
              <w:top w:val="nil"/>
              <w:left w:val="nil"/>
              <w:bottom w:val="nil"/>
              <w:right w:val="nil"/>
            </w:tcBorders>
            <w:shd w:val="clear" w:color="auto" w:fill="auto"/>
            <w:noWrap/>
            <w:vAlign w:val="bottom"/>
            <w:hideMark/>
          </w:tcPr>
          <w:p w:rsidR="00F84534" w:rsidRDefault="00F84534" w:rsidP="00FF4A3B">
            <w:pPr>
              <w:rPr>
                <w:sz w:val="20"/>
                <w:szCs w:val="20"/>
              </w:rPr>
            </w:pPr>
          </w:p>
        </w:tc>
        <w:tc>
          <w:tcPr>
            <w:tcW w:w="880" w:type="dxa"/>
            <w:tcBorders>
              <w:top w:val="nil"/>
              <w:left w:val="nil"/>
              <w:bottom w:val="nil"/>
              <w:right w:val="nil"/>
            </w:tcBorders>
            <w:shd w:val="clear" w:color="auto" w:fill="auto"/>
            <w:noWrap/>
            <w:vAlign w:val="center"/>
            <w:hideMark/>
          </w:tcPr>
          <w:p w:rsidR="00F84534" w:rsidRDefault="00F84534" w:rsidP="00FF4A3B">
            <w:pPr>
              <w:rPr>
                <w:sz w:val="20"/>
                <w:szCs w:val="20"/>
              </w:rPr>
            </w:pPr>
          </w:p>
        </w:tc>
      </w:tr>
      <w:tr w:rsidR="00F84534" w:rsidTr="00FF4A3B">
        <w:trPr>
          <w:trHeight w:val="221"/>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CAMPAGNOLLES</w:t>
            </w:r>
          </w:p>
        </w:tc>
      </w:tr>
      <w:tr w:rsidR="00F84534" w:rsidTr="00FF4A3B">
        <w:trPr>
          <w:trHeight w:val="278"/>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01"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F84534" w:rsidRPr="00973A6C" w:rsidRDefault="00F84534" w:rsidP="00FF4A3B">
            <w:pPr>
              <w:jc w:val="center"/>
              <w:rPr>
                <w:rFonts w:ascii="Calibri" w:hAnsi="Calibri"/>
                <w:b/>
                <w:bCs/>
                <w:color w:val="000000"/>
                <w:sz w:val="17"/>
                <w:szCs w:val="17"/>
              </w:rPr>
            </w:pPr>
            <w:r w:rsidRPr="00973A6C">
              <w:rPr>
                <w:rFonts w:ascii="Calibri" w:hAnsi="Calibri"/>
                <w:b/>
                <w:bCs/>
                <w:color w:val="000000"/>
                <w:sz w:val="17"/>
                <w:szCs w:val="17"/>
              </w:rPr>
              <w:t>X : M. Jacques FAUTRARD</w:t>
            </w:r>
          </w:p>
        </w:tc>
        <w:tc>
          <w:tcPr>
            <w:tcW w:w="2260" w:type="dxa"/>
            <w:tcBorders>
              <w:top w:val="nil"/>
              <w:left w:val="nil"/>
              <w:bottom w:val="single" w:sz="8"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rPr>
                <w:rFonts w:ascii="Calibri" w:hAnsi="Calibri"/>
                <w:color w:val="000000"/>
                <w:sz w:val="18"/>
                <w:szCs w:val="18"/>
              </w:rPr>
            </w:pPr>
          </w:p>
        </w:tc>
        <w:tc>
          <w:tcPr>
            <w:tcW w:w="901"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204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c>
          <w:tcPr>
            <w:tcW w:w="1120"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88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r>
      <w:tr w:rsidR="00F84534" w:rsidTr="00FF4A3B">
        <w:trPr>
          <w:trHeight w:val="178"/>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F84534"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 xml:space="preserve">M. Denis JOUAULT </w:t>
            </w:r>
          </w:p>
        </w:tc>
        <w:tc>
          <w:tcPr>
            <w:tcW w:w="901"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204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noWrap/>
            <w:vAlign w:val="bottom"/>
            <w:hideMark/>
          </w:tcPr>
          <w:p w:rsidR="00F84534" w:rsidRDefault="00F84534" w:rsidP="00FF4A3B">
            <w:pPr>
              <w:rPr>
                <w:sz w:val="20"/>
                <w:szCs w:val="20"/>
              </w:rPr>
            </w:pPr>
          </w:p>
        </w:tc>
        <w:tc>
          <w:tcPr>
            <w:tcW w:w="1120"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880" w:type="dxa"/>
            <w:tcBorders>
              <w:top w:val="nil"/>
              <w:left w:val="nil"/>
              <w:bottom w:val="nil"/>
              <w:right w:val="nil"/>
            </w:tcBorders>
            <w:shd w:val="clear" w:color="auto" w:fill="auto"/>
            <w:noWrap/>
            <w:vAlign w:val="center"/>
            <w:hideMark/>
          </w:tcPr>
          <w:p w:rsidR="00F84534" w:rsidRDefault="00F84534" w:rsidP="00FF4A3B">
            <w:pPr>
              <w:jc w:val="center"/>
              <w:rPr>
                <w:sz w:val="20"/>
                <w:szCs w:val="20"/>
              </w:rPr>
            </w:pPr>
          </w:p>
        </w:tc>
      </w:tr>
      <w:tr w:rsidR="00F84534" w:rsidTr="00FF4A3B">
        <w:trPr>
          <w:trHeight w:val="60"/>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F84534"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Jean-Claude RUAULT</w:t>
            </w:r>
          </w:p>
        </w:tc>
        <w:tc>
          <w:tcPr>
            <w:tcW w:w="901"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204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1120" w:type="dxa"/>
            <w:tcBorders>
              <w:top w:val="nil"/>
              <w:left w:val="nil"/>
              <w:bottom w:val="nil"/>
              <w:right w:val="nil"/>
            </w:tcBorders>
            <w:shd w:val="clear" w:color="auto" w:fill="auto"/>
            <w:noWrap/>
            <w:vAlign w:val="center"/>
            <w:hideMark/>
          </w:tcPr>
          <w:p w:rsidR="00F84534" w:rsidRDefault="00F84534" w:rsidP="00FF4A3B">
            <w:pPr>
              <w:jc w:val="center"/>
              <w:rPr>
                <w:sz w:val="20"/>
                <w:szCs w:val="20"/>
              </w:rPr>
            </w:pPr>
          </w:p>
        </w:tc>
        <w:tc>
          <w:tcPr>
            <w:tcW w:w="880" w:type="dxa"/>
            <w:tcBorders>
              <w:top w:val="nil"/>
              <w:left w:val="nil"/>
              <w:bottom w:val="nil"/>
              <w:right w:val="nil"/>
            </w:tcBorders>
            <w:shd w:val="clear" w:color="auto" w:fill="auto"/>
            <w:noWrap/>
            <w:vAlign w:val="center"/>
            <w:hideMark/>
          </w:tcPr>
          <w:p w:rsidR="00F84534" w:rsidRDefault="00F84534" w:rsidP="00FF4A3B">
            <w:pPr>
              <w:jc w:val="center"/>
              <w:rPr>
                <w:sz w:val="20"/>
                <w:szCs w:val="20"/>
              </w:rPr>
            </w:pPr>
          </w:p>
        </w:tc>
      </w:tr>
      <w:tr w:rsidR="00F84534" w:rsidTr="00FF4A3B">
        <w:trPr>
          <w:trHeight w:val="197"/>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NOUES-DE-SIENNE</w:t>
            </w:r>
          </w:p>
        </w:tc>
      </w:tr>
      <w:tr w:rsidR="00F84534" w:rsidTr="00FF4A3B">
        <w:trPr>
          <w:trHeight w:val="324"/>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Coraline BRISON- VALOGNES</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F84534" w:rsidRDefault="00F84534" w:rsidP="00FF4A3B">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bottom"/>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Olivier JEANNEAU</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 xml:space="preserve">Mme Colette JOUAULT </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Bernadette LEROY</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Georges RAVENEL</w:t>
            </w:r>
          </w:p>
        </w:tc>
        <w:tc>
          <w:tcPr>
            <w:tcW w:w="901"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rPr>
                <w:rFonts w:ascii="Calibri" w:hAnsi="Calibri"/>
                <w:color w:val="000000"/>
                <w:sz w:val="18"/>
                <w:szCs w:val="18"/>
              </w:rPr>
            </w:pPr>
          </w:p>
        </w:tc>
        <w:tc>
          <w:tcPr>
            <w:tcW w:w="901"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204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1120" w:type="dxa"/>
            <w:tcBorders>
              <w:top w:val="nil"/>
              <w:left w:val="nil"/>
              <w:bottom w:val="nil"/>
              <w:right w:val="nil"/>
            </w:tcBorders>
            <w:shd w:val="clear" w:color="auto" w:fill="auto"/>
            <w:noWrap/>
            <w:vAlign w:val="center"/>
            <w:hideMark/>
          </w:tcPr>
          <w:p w:rsidR="00F84534" w:rsidRDefault="00F84534" w:rsidP="00FF4A3B">
            <w:pPr>
              <w:jc w:val="center"/>
              <w:rPr>
                <w:sz w:val="20"/>
                <w:szCs w:val="20"/>
              </w:rPr>
            </w:pPr>
          </w:p>
        </w:tc>
        <w:tc>
          <w:tcPr>
            <w:tcW w:w="88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r>
      <w:tr w:rsidR="00F84534" w:rsidTr="00FF4A3B">
        <w:trPr>
          <w:trHeight w:val="158"/>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PONT-BELLANGER</w:t>
            </w:r>
          </w:p>
        </w:tc>
      </w:tr>
      <w:tr w:rsidR="00F84534"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Christian MARIETTE</w:t>
            </w:r>
          </w:p>
        </w:tc>
        <w:tc>
          <w:tcPr>
            <w:tcW w:w="901"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204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c>
          <w:tcPr>
            <w:tcW w:w="1120" w:type="dxa"/>
            <w:tcBorders>
              <w:top w:val="nil"/>
              <w:left w:val="nil"/>
              <w:bottom w:val="nil"/>
              <w:right w:val="nil"/>
            </w:tcBorders>
            <w:shd w:val="clear" w:color="auto" w:fill="auto"/>
            <w:noWrap/>
            <w:vAlign w:val="bottom"/>
            <w:hideMark/>
          </w:tcPr>
          <w:p w:rsidR="00F84534" w:rsidRDefault="00F84534" w:rsidP="00FF4A3B">
            <w:pPr>
              <w:rPr>
                <w:sz w:val="20"/>
                <w:szCs w:val="20"/>
              </w:rPr>
            </w:pPr>
          </w:p>
        </w:tc>
        <w:tc>
          <w:tcPr>
            <w:tcW w:w="880" w:type="dxa"/>
            <w:tcBorders>
              <w:top w:val="nil"/>
              <w:left w:val="nil"/>
              <w:bottom w:val="nil"/>
              <w:right w:val="nil"/>
            </w:tcBorders>
            <w:shd w:val="clear" w:color="auto" w:fill="auto"/>
            <w:noWrap/>
            <w:vAlign w:val="center"/>
            <w:hideMark/>
          </w:tcPr>
          <w:p w:rsidR="00F84534" w:rsidRDefault="00F84534" w:rsidP="00FF4A3B">
            <w:pPr>
              <w:rPr>
                <w:sz w:val="20"/>
                <w:szCs w:val="20"/>
              </w:rPr>
            </w:pPr>
          </w:p>
        </w:tc>
      </w:tr>
      <w:tr w:rsidR="00F84534" w:rsidTr="00FF4A3B">
        <w:trPr>
          <w:trHeight w:val="195"/>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F84534"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Maurice ANNE</w:t>
            </w:r>
          </w:p>
        </w:tc>
        <w:tc>
          <w:tcPr>
            <w:tcW w:w="901"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204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1120" w:type="dxa"/>
            <w:tcBorders>
              <w:top w:val="nil"/>
              <w:left w:val="nil"/>
              <w:bottom w:val="nil"/>
              <w:right w:val="nil"/>
            </w:tcBorders>
            <w:shd w:val="clear" w:color="auto" w:fill="auto"/>
            <w:noWrap/>
            <w:vAlign w:val="center"/>
            <w:hideMark/>
          </w:tcPr>
          <w:p w:rsidR="00F84534" w:rsidRDefault="00F84534" w:rsidP="00FF4A3B">
            <w:pPr>
              <w:jc w:val="center"/>
              <w:rPr>
                <w:sz w:val="20"/>
                <w:szCs w:val="20"/>
              </w:rPr>
            </w:pPr>
          </w:p>
        </w:tc>
        <w:tc>
          <w:tcPr>
            <w:tcW w:w="880" w:type="dxa"/>
            <w:tcBorders>
              <w:top w:val="nil"/>
              <w:left w:val="nil"/>
              <w:bottom w:val="nil"/>
              <w:right w:val="nil"/>
            </w:tcBorders>
            <w:shd w:val="clear" w:color="auto" w:fill="auto"/>
            <w:noWrap/>
            <w:vAlign w:val="center"/>
            <w:hideMark/>
          </w:tcPr>
          <w:p w:rsidR="00F84534" w:rsidRDefault="00F84534" w:rsidP="00FF4A3B">
            <w:pPr>
              <w:jc w:val="center"/>
              <w:rPr>
                <w:sz w:val="20"/>
                <w:szCs w:val="20"/>
              </w:rPr>
            </w:pPr>
          </w:p>
        </w:tc>
      </w:tr>
      <w:tr w:rsidR="00F84534" w:rsidTr="00FF4A3B">
        <w:trPr>
          <w:trHeight w:val="206"/>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F84534"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Catherine GARNIER</w:t>
            </w:r>
          </w:p>
        </w:tc>
        <w:tc>
          <w:tcPr>
            <w:tcW w:w="901"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204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noWrap/>
            <w:vAlign w:val="bottom"/>
            <w:hideMark/>
          </w:tcPr>
          <w:p w:rsidR="00F84534" w:rsidRDefault="00F84534" w:rsidP="00FF4A3B">
            <w:pPr>
              <w:rPr>
                <w:sz w:val="20"/>
                <w:szCs w:val="20"/>
              </w:rPr>
            </w:pPr>
          </w:p>
        </w:tc>
        <w:tc>
          <w:tcPr>
            <w:tcW w:w="1120" w:type="dxa"/>
            <w:tcBorders>
              <w:top w:val="nil"/>
              <w:left w:val="nil"/>
              <w:bottom w:val="nil"/>
              <w:right w:val="nil"/>
            </w:tcBorders>
            <w:shd w:val="clear" w:color="auto" w:fill="auto"/>
            <w:noWrap/>
            <w:vAlign w:val="bottom"/>
            <w:hideMark/>
          </w:tcPr>
          <w:p w:rsidR="00F84534" w:rsidRDefault="00F84534" w:rsidP="00FF4A3B">
            <w:pPr>
              <w:rPr>
                <w:sz w:val="20"/>
                <w:szCs w:val="20"/>
              </w:rPr>
            </w:pPr>
          </w:p>
        </w:tc>
        <w:tc>
          <w:tcPr>
            <w:tcW w:w="880" w:type="dxa"/>
            <w:tcBorders>
              <w:top w:val="nil"/>
              <w:left w:val="nil"/>
              <w:bottom w:val="nil"/>
              <w:right w:val="nil"/>
            </w:tcBorders>
            <w:shd w:val="clear" w:color="auto" w:fill="auto"/>
            <w:noWrap/>
            <w:vAlign w:val="bottom"/>
            <w:hideMark/>
          </w:tcPr>
          <w:p w:rsidR="00F84534" w:rsidRDefault="00F84534" w:rsidP="00FF4A3B">
            <w:pPr>
              <w:rPr>
                <w:sz w:val="20"/>
                <w:szCs w:val="20"/>
              </w:rPr>
            </w:pPr>
          </w:p>
        </w:tc>
      </w:tr>
      <w:tr w:rsidR="00F84534" w:rsidTr="00FF4A3B">
        <w:trPr>
          <w:trHeight w:val="74"/>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Annick ALLAIN</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right w:val="single" w:sz="4" w:space="0" w:color="auto"/>
            </w:tcBorders>
            <w:shd w:val="clear" w:color="000000" w:fill="D9D9D9"/>
            <w:noWrap/>
            <w:vAlign w:val="bottom"/>
            <w:hideMark/>
          </w:tcPr>
          <w:p w:rsidR="00F84534" w:rsidRDefault="00F84534" w:rsidP="00FF4A3B">
            <w:pPr>
              <w:jc w:val="center"/>
              <w:rPr>
                <w:rFonts w:ascii="Calibri" w:hAnsi="Calibri"/>
                <w:color w:val="000000"/>
                <w:sz w:val="18"/>
                <w:szCs w:val="18"/>
              </w:rPr>
            </w:pPr>
            <w:r>
              <w:rPr>
                <w:rFonts w:ascii="Calibri" w:hAnsi="Calibri"/>
                <w:color w:val="000000"/>
                <w:sz w:val="18"/>
                <w:szCs w:val="18"/>
              </w:rPr>
              <w:t> </w:t>
            </w:r>
          </w:p>
          <w:p w:rsidR="00F84534" w:rsidRDefault="00F84534" w:rsidP="00FF4A3B">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Alain DECLOMESNIL</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F84534" w:rsidRDefault="00F84534" w:rsidP="00FF4A3B">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Régis DELIQUAIRE</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F84534" w:rsidRDefault="00F84534" w:rsidP="00FF4A3B">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Didier DUCHEMIN</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F84534" w:rsidRDefault="00F84534" w:rsidP="00FF4A3B">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Marc GUILLAUMIN</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F84534" w:rsidRDefault="00F84534" w:rsidP="00FF4A3B">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Francis HERMON</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F84534" w:rsidRDefault="00F84534" w:rsidP="00FF4A3B">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Marie-Line LEVALLOIS</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F84534" w:rsidRDefault="00F84534" w:rsidP="00FF4A3B">
            <w:pPr>
              <w:jc w:val="center"/>
              <w:rPr>
                <w:rFonts w:ascii="Calibri" w:hAnsi="Calibri"/>
                <w:color w:val="000000"/>
                <w:sz w:val="18"/>
                <w:szCs w:val="18"/>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Eric MARTIN</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F84534" w:rsidRDefault="00F84534" w:rsidP="00FF4A3B">
            <w:pPr>
              <w:jc w:val="center"/>
              <w:rPr>
                <w:rFonts w:ascii="Calibri" w:hAnsi="Calibri"/>
                <w:color w:val="000000"/>
                <w:sz w:val="18"/>
                <w:szCs w:val="18"/>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Natacha MASSIEU</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F84534" w:rsidRDefault="00F84534" w:rsidP="00FF4A3B">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Sandrine SAMSON</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left w:val="single" w:sz="4" w:space="0" w:color="auto"/>
              <w:right w:val="single" w:sz="4" w:space="0" w:color="auto"/>
            </w:tcBorders>
            <w:shd w:val="clear" w:color="000000" w:fill="D9D9D9"/>
            <w:noWrap/>
            <w:vAlign w:val="bottom"/>
            <w:hideMark/>
          </w:tcPr>
          <w:p w:rsidR="00F84534" w:rsidRDefault="00F84534" w:rsidP="00FF4A3B">
            <w:pPr>
              <w:jc w:val="center"/>
              <w:rPr>
                <w:rFonts w:ascii="Calibri" w:hAnsi="Calibri"/>
                <w:color w:val="000000"/>
                <w:sz w:val="18"/>
                <w:szCs w:val="18"/>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 : M. Marc GUILLAUMIN</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Cyndi THOMAS</w:t>
            </w:r>
          </w:p>
        </w:tc>
        <w:tc>
          <w:tcPr>
            <w:tcW w:w="901"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204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c>
          <w:tcPr>
            <w:tcW w:w="1120" w:type="dxa"/>
            <w:tcBorders>
              <w:top w:val="nil"/>
              <w:left w:val="nil"/>
              <w:bottom w:val="nil"/>
              <w:right w:val="nil"/>
            </w:tcBorders>
            <w:shd w:val="clear" w:color="auto" w:fill="auto"/>
            <w:noWrap/>
            <w:vAlign w:val="bottom"/>
            <w:hideMark/>
          </w:tcPr>
          <w:p w:rsidR="00F84534" w:rsidRDefault="00F84534" w:rsidP="00FF4A3B">
            <w:pPr>
              <w:rPr>
                <w:sz w:val="20"/>
                <w:szCs w:val="20"/>
              </w:rPr>
            </w:pPr>
          </w:p>
        </w:tc>
        <w:tc>
          <w:tcPr>
            <w:tcW w:w="880" w:type="dxa"/>
            <w:tcBorders>
              <w:top w:val="nil"/>
              <w:left w:val="nil"/>
              <w:bottom w:val="nil"/>
              <w:right w:val="nil"/>
            </w:tcBorders>
            <w:shd w:val="clear" w:color="auto" w:fill="auto"/>
            <w:noWrap/>
            <w:vAlign w:val="center"/>
            <w:hideMark/>
          </w:tcPr>
          <w:p w:rsidR="00F84534" w:rsidRDefault="00F84534" w:rsidP="00FF4A3B">
            <w:pPr>
              <w:rPr>
                <w:sz w:val="20"/>
                <w:szCs w:val="20"/>
              </w:rPr>
            </w:pPr>
          </w:p>
        </w:tc>
      </w:tr>
    </w:tbl>
    <w:p w:rsidR="00F84534" w:rsidRDefault="00F84534" w:rsidP="00F84534">
      <w:r>
        <w:br w:type="page"/>
      </w:r>
    </w:p>
    <w:tbl>
      <w:tblPr>
        <w:tblW w:w="10040" w:type="dxa"/>
        <w:tblInd w:w="-294" w:type="dxa"/>
        <w:tblCellMar>
          <w:left w:w="70" w:type="dxa"/>
          <w:right w:w="70" w:type="dxa"/>
        </w:tblCellMar>
        <w:tblLook w:val="04A0" w:firstRow="1" w:lastRow="0" w:firstColumn="1" w:lastColumn="0" w:noHBand="0" w:noVBand="1"/>
      </w:tblPr>
      <w:tblGrid>
        <w:gridCol w:w="2839"/>
        <w:gridCol w:w="901"/>
        <w:gridCol w:w="2040"/>
        <w:gridCol w:w="2260"/>
        <w:gridCol w:w="1120"/>
        <w:gridCol w:w="880"/>
      </w:tblGrid>
      <w:tr w:rsidR="00F84534" w:rsidTr="00FF4A3B">
        <w:trPr>
          <w:trHeight w:val="192"/>
        </w:trPr>
        <w:tc>
          <w:tcPr>
            <w:tcW w:w="28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Absents</w:t>
            </w:r>
          </w:p>
        </w:tc>
      </w:tr>
      <w:tr w:rsidR="00F84534" w:rsidTr="00FF4A3B">
        <w:trPr>
          <w:trHeight w:val="1632"/>
        </w:trPr>
        <w:tc>
          <w:tcPr>
            <w:tcW w:w="2839" w:type="dxa"/>
            <w:vMerge/>
            <w:tcBorders>
              <w:top w:val="single" w:sz="8" w:space="0" w:color="auto"/>
              <w:left w:val="single" w:sz="8" w:space="0" w:color="auto"/>
              <w:bottom w:val="single" w:sz="8" w:space="0" w:color="000000"/>
              <w:right w:val="single" w:sz="4" w:space="0" w:color="auto"/>
            </w:tcBorders>
            <w:vAlign w:val="center"/>
            <w:hideMark/>
          </w:tcPr>
          <w:p w:rsidR="00F84534" w:rsidRDefault="00F84534" w:rsidP="00FF4A3B">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F84534" w:rsidRDefault="00F84534" w:rsidP="00FF4A3B">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F84534" w:rsidRDefault="00F84534" w:rsidP="00FF4A3B">
            <w:pPr>
              <w:rPr>
                <w:rFonts w:ascii="Arial" w:hAnsi="Arial" w:cs="Arial"/>
                <w:b/>
                <w:bCs/>
                <w:color w:val="000000"/>
                <w:sz w:val="18"/>
                <w:szCs w:val="18"/>
              </w:rPr>
            </w:pPr>
          </w:p>
        </w:tc>
      </w:tr>
      <w:tr w:rsidR="00F84534" w:rsidTr="00FF4A3B">
        <w:trPr>
          <w:trHeight w:val="113"/>
        </w:trPr>
        <w:tc>
          <w:tcPr>
            <w:tcW w:w="2839" w:type="dxa"/>
            <w:tcBorders>
              <w:top w:val="nil"/>
              <w:left w:val="nil"/>
              <w:bottom w:val="single" w:sz="4" w:space="0" w:color="auto"/>
              <w:right w:val="nil"/>
            </w:tcBorders>
            <w:shd w:val="clear" w:color="auto" w:fill="auto"/>
            <w:vAlign w:val="center"/>
            <w:hideMark/>
          </w:tcPr>
          <w:p w:rsidR="00F84534" w:rsidRDefault="00F84534" w:rsidP="00FF4A3B">
            <w:pPr>
              <w:jc w:val="center"/>
              <w:rPr>
                <w:rFonts w:ascii="Arial" w:hAnsi="Arial" w:cs="Arial"/>
                <w:b/>
                <w:bCs/>
                <w:color w:val="000000"/>
                <w:sz w:val="18"/>
                <w:szCs w:val="18"/>
              </w:rPr>
            </w:pPr>
          </w:p>
        </w:tc>
        <w:tc>
          <w:tcPr>
            <w:tcW w:w="901" w:type="dxa"/>
            <w:tcBorders>
              <w:top w:val="nil"/>
              <w:left w:val="nil"/>
              <w:bottom w:val="single" w:sz="4" w:space="0" w:color="auto"/>
              <w:right w:val="nil"/>
            </w:tcBorders>
            <w:shd w:val="clear" w:color="auto" w:fill="auto"/>
            <w:vAlign w:val="center"/>
            <w:hideMark/>
          </w:tcPr>
          <w:p w:rsidR="00F84534" w:rsidRDefault="00F84534" w:rsidP="00FF4A3B">
            <w:pPr>
              <w:jc w:val="center"/>
              <w:rPr>
                <w:sz w:val="20"/>
                <w:szCs w:val="20"/>
              </w:rPr>
            </w:pPr>
          </w:p>
        </w:tc>
        <w:tc>
          <w:tcPr>
            <w:tcW w:w="2040" w:type="dxa"/>
            <w:tcBorders>
              <w:top w:val="nil"/>
              <w:left w:val="nil"/>
              <w:bottom w:val="single" w:sz="4" w:space="0" w:color="auto"/>
              <w:right w:val="nil"/>
            </w:tcBorders>
            <w:shd w:val="clear" w:color="auto" w:fill="auto"/>
            <w:vAlign w:val="center"/>
            <w:hideMark/>
          </w:tcPr>
          <w:p w:rsidR="00F84534" w:rsidRDefault="00F84534" w:rsidP="00FF4A3B">
            <w:pPr>
              <w:jc w:val="center"/>
              <w:rPr>
                <w:sz w:val="20"/>
                <w:szCs w:val="20"/>
              </w:rPr>
            </w:pPr>
          </w:p>
        </w:tc>
        <w:tc>
          <w:tcPr>
            <w:tcW w:w="2260" w:type="dxa"/>
            <w:tcBorders>
              <w:top w:val="nil"/>
              <w:left w:val="nil"/>
              <w:bottom w:val="single" w:sz="4" w:space="0" w:color="auto"/>
              <w:right w:val="nil"/>
            </w:tcBorders>
            <w:shd w:val="clear" w:color="auto" w:fill="auto"/>
            <w:vAlign w:val="center"/>
            <w:hideMark/>
          </w:tcPr>
          <w:p w:rsidR="00F84534" w:rsidRDefault="00F84534" w:rsidP="00FF4A3B">
            <w:pPr>
              <w:jc w:val="center"/>
              <w:rPr>
                <w:sz w:val="20"/>
                <w:szCs w:val="20"/>
              </w:rPr>
            </w:pPr>
          </w:p>
        </w:tc>
        <w:tc>
          <w:tcPr>
            <w:tcW w:w="1120" w:type="dxa"/>
            <w:tcBorders>
              <w:top w:val="nil"/>
              <w:left w:val="nil"/>
              <w:bottom w:val="single" w:sz="4" w:space="0" w:color="auto"/>
              <w:right w:val="nil"/>
            </w:tcBorders>
            <w:shd w:val="clear" w:color="auto" w:fill="auto"/>
            <w:vAlign w:val="center"/>
            <w:hideMark/>
          </w:tcPr>
          <w:p w:rsidR="00F84534" w:rsidRDefault="00F84534" w:rsidP="00FF4A3B">
            <w:pPr>
              <w:jc w:val="center"/>
              <w:rPr>
                <w:sz w:val="20"/>
                <w:szCs w:val="20"/>
              </w:rPr>
            </w:pPr>
          </w:p>
        </w:tc>
        <w:tc>
          <w:tcPr>
            <w:tcW w:w="880" w:type="dxa"/>
            <w:tcBorders>
              <w:top w:val="nil"/>
              <w:left w:val="nil"/>
              <w:bottom w:val="single" w:sz="4" w:space="0" w:color="auto"/>
              <w:right w:val="nil"/>
            </w:tcBorders>
            <w:shd w:val="clear" w:color="auto" w:fill="auto"/>
            <w:vAlign w:val="center"/>
            <w:hideMark/>
          </w:tcPr>
          <w:p w:rsidR="00F84534" w:rsidRDefault="00F84534" w:rsidP="00FF4A3B">
            <w:pPr>
              <w:jc w:val="center"/>
              <w:rPr>
                <w:sz w:val="20"/>
                <w:szCs w:val="20"/>
              </w:rPr>
            </w:pPr>
          </w:p>
        </w:tc>
      </w:tr>
      <w:tr w:rsidR="00F84534" w:rsidTr="00FF4A3B">
        <w:trPr>
          <w:trHeight w:val="108"/>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VALDALLIERE</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Jean-Paul ANGENEAU</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val="restart"/>
            <w:tcBorders>
              <w:top w:val="nil"/>
              <w:left w:val="single" w:sz="4" w:space="0" w:color="auto"/>
              <w:right w:val="single" w:sz="4" w:space="0" w:color="auto"/>
            </w:tcBorders>
            <w:shd w:val="clear" w:color="000000" w:fill="D9D9D9"/>
            <w:noWrap/>
            <w:vAlign w:val="bottom"/>
            <w:hideMark/>
          </w:tcPr>
          <w:p w:rsidR="00F84534" w:rsidRDefault="00F84534" w:rsidP="00FF4A3B">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 : M. Frédéric BROGNIART</w:t>
            </w:r>
          </w:p>
        </w:tc>
        <w:tc>
          <w:tcPr>
            <w:tcW w:w="1120" w:type="dxa"/>
            <w:tcBorders>
              <w:top w:val="nil"/>
              <w:left w:val="nil"/>
              <w:bottom w:val="single" w:sz="4" w:space="0" w:color="auto"/>
              <w:right w:val="single" w:sz="4" w:space="0" w:color="auto"/>
            </w:tcBorders>
            <w:shd w:val="clear" w:color="auto" w:fill="auto"/>
            <w:noWrap/>
            <w:vAlign w:val="bottom"/>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 xml:space="preserve">M. Frédéric BROGNIART </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shd w:val="clear" w:color="auto" w:fill="D9D9D9" w:themeFill="background1" w:themeFillShade="D9"/>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 xml:space="preserve">Mme Caroline CHANU </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left w:val="single" w:sz="4" w:space="0" w:color="auto"/>
              <w:right w:val="single" w:sz="4" w:space="0" w:color="auto"/>
            </w:tcBorders>
            <w:shd w:val="clear" w:color="auto" w:fill="D9D9D9" w:themeFill="background1" w:themeFillShade="D9"/>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bottom"/>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Marie-Françoise DAUPRAT</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shd w:val="clear" w:color="auto" w:fill="D9D9D9" w:themeFill="background1" w:themeFillShade="D9"/>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Gilles FAUCON</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shd w:val="clear" w:color="auto" w:fill="D9D9D9" w:themeFill="background1" w:themeFillShade="D9"/>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r>
      <w:tr w:rsidR="00F84534" w:rsidTr="00FF4A3B">
        <w:trPr>
          <w:trHeight w:val="255"/>
        </w:trPr>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Brigitte MENNIER</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left w:val="single" w:sz="4" w:space="0" w:color="auto"/>
              <w:right w:val="single" w:sz="4" w:space="0" w:color="auto"/>
            </w:tcBorders>
            <w:shd w:val="clear" w:color="auto" w:fill="D9D9D9" w:themeFill="background1" w:themeFillShade="D9"/>
            <w:vAlign w:val="center"/>
            <w:hideMark/>
          </w:tcPr>
          <w:p w:rsidR="00F84534" w:rsidRDefault="00F84534" w:rsidP="00FF4A3B">
            <w:pPr>
              <w:rPr>
                <w:rFonts w:ascii="Calibri" w:hAnsi="Calibri"/>
                <w:color w:val="000000"/>
                <w:sz w:val="18"/>
                <w:szCs w:val="18"/>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Sabrina SCOLA</w:t>
            </w:r>
          </w:p>
        </w:tc>
        <w:tc>
          <w:tcPr>
            <w:tcW w:w="901" w:type="dxa"/>
            <w:tcBorders>
              <w:top w:val="single" w:sz="4" w:space="0" w:color="auto"/>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left w:val="single" w:sz="4" w:space="0" w:color="auto"/>
              <w:bottom w:val="single" w:sz="8" w:space="0" w:color="000000"/>
              <w:right w:val="single" w:sz="4" w:space="0" w:color="auto"/>
            </w:tcBorders>
            <w:shd w:val="clear" w:color="auto" w:fill="D9D9D9" w:themeFill="background1" w:themeFillShade="D9"/>
            <w:vAlign w:val="center"/>
            <w:hideMark/>
          </w:tcPr>
          <w:p w:rsidR="00F84534" w:rsidRDefault="00F84534" w:rsidP="00FF4A3B">
            <w:pPr>
              <w:rPr>
                <w:rFonts w:ascii="Calibri" w:hAnsi="Calibri"/>
                <w:color w:val="000000"/>
                <w:sz w:val="18"/>
                <w:szCs w:val="18"/>
              </w:rPr>
            </w:pPr>
          </w:p>
        </w:tc>
        <w:tc>
          <w:tcPr>
            <w:tcW w:w="2260" w:type="dxa"/>
            <w:tcBorders>
              <w:top w:val="single" w:sz="4" w:space="0" w:color="auto"/>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204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1120" w:type="dxa"/>
            <w:tcBorders>
              <w:top w:val="nil"/>
              <w:left w:val="nil"/>
              <w:bottom w:val="nil"/>
              <w:right w:val="nil"/>
            </w:tcBorders>
            <w:shd w:val="clear" w:color="auto" w:fill="auto"/>
            <w:noWrap/>
            <w:vAlign w:val="center"/>
            <w:hideMark/>
          </w:tcPr>
          <w:p w:rsidR="00F84534" w:rsidRDefault="00F84534" w:rsidP="00FF4A3B">
            <w:pPr>
              <w:jc w:val="center"/>
              <w:rPr>
                <w:sz w:val="20"/>
                <w:szCs w:val="20"/>
              </w:rPr>
            </w:pPr>
          </w:p>
        </w:tc>
        <w:tc>
          <w:tcPr>
            <w:tcW w:w="880" w:type="dxa"/>
            <w:tcBorders>
              <w:top w:val="nil"/>
              <w:left w:val="nil"/>
              <w:bottom w:val="nil"/>
              <w:right w:val="nil"/>
            </w:tcBorders>
            <w:shd w:val="clear" w:color="auto" w:fill="auto"/>
            <w:noWrap/>
            <w:vAlign w:val="center"/>
            <w:hideMark/>
          </w:tcPr>
          <w:p w:rsidR="00F84534" w:rsidRDefault="00F84534" w:rsidP="00FF4A3B">
            <w:pPr>
              <w:jc w:val="center"/>
              <w:rPr>
                <w:sz w:val="20"/>
                <w:szCs w:val="20"/>
              </w:rPr>
            </w:pPr>
          </w:p>
        </w:tc>
      </w:tr>
      <w:tr w:rsidR="00F84534" w:rsidTr="00FF4A3B">
        <w:trPr>
          <w:trHeight w:val="60"/>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84534" w:rsidRDefault="00F84534" w:rsidP="00FF4A3B">
            <w:pPr>
              <w:rPr>
                <w:rFonts w:ascii="Calibri" w:hAnsi="Calibri"/>
                <w:b/>
                <w:bCs/>
                <w:color w:val="000000"/>
                <w:sz w:val="18"/>
                <w:szCs w:val="18"/>
                <w:u w:val="single"/>
              </w:rPr>
            </w:pPr>
            <w:r>
              <w:rPr>
                <w:rFonts w:ascii="Calibri" w:hAnsi="Calibri"/>
                <w:b/>
                <w:bCs/>
                <w:color w:val="000000"/>
                <w:sz w:val="18"/>
                <w:szCs w:val="18"/>
                <w:u w:val="single"/>
              </w:rPr>
              <w:t>VIRE NORMANDIE</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Marc ANDREU SABATER</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F84534" w:rsidRDefault="00F84534" w:rsidP="00FF4A3B">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color w:val="000000"/>
                <w:sz w:val="18"/>
                <w:szCs w:val="18"/>
              </w:rPr>
            </w:pPr>
            <w:r>
              <w:rPr>
                <w:rFonts w:ascii="Calibri" w:hAnsi="Calibri"/>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Marie-Noëlle BALLE</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Lucien BAZIN</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Marie-Ange CORDIER</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Serge COUASNON</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Nicole DESMOTTES</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Sylvie GELEZ</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Corentin GOETHALS</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Catherine MADELAINE</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Gilles MALOISEL</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Pascal MARTIN</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Gérard MARY</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Marie-Odile MOREL</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Valérie OLLIVIER</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Régis PICOT</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Jane PIGAULT</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nil"/>
              <w:left w:val="single" w:sz="8" w:space="0" w:color="auto"/>
              <w:bottom w:val="nil"/>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Mme Annie ROSSI</w:t>
            </w:r>
          </w:p>
        </w:tc>
        <w:tc>
          <w:tcPr>
            <w:tcW w:w="901" w:type="dxa"/>
            <w:tcBorders>
              <w:top w:val="nil"/>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nil"/>
              <w:left w:val="nil"/>
              <w:bottom w:val="nil"/>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nil"/>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nil"/>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255"/>
        </w:trPr>
        <w:tc>
          <w:tcPr>
            <w:tcW w:w="283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84534" w:rsidRDefault="00F84534" w:rsidP="00FF4A3B">
            <w:pPr>
              <w:rPr>
                <w:rFonts w:ascii="Arial" w:hAnsi="Arial" w:cs="Arial"/>
                <w:color w:val="000000"/>
                <w:sz w:val="18"/>
                <w:szCs w:val="18"/>
              </w:rPr>
            </w:pPr>
            <w:r>
              <w:rPr>
                <w:rFonts w:ascii="Arial" w:hAnsi="Arial" w:cs="Arial"/>
                <w:color w:val="000000"/>
                <w:sz w:val="18"/>
                <w:szCs w:val="18"/>
              </w:rPr>
              <w:t>M. Guy VELANY</w:t>
            </w:r>
          </w:p>
        </w:tc>
        <w:tc>
          <w:tcPr>
            <w:tcW w:w="901" w:type="dxa"/>
            <w:tcBorders>
              <w:top w:val="nil"/>
              <w:left w:val="nil"/>
              <w:bottom w:val="single" w:sz="8"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84534" w:rsidRDefault="00F84534" w:rsidP="00FF4A3B">
            <w:pPr>
              <w:rPr>
                <w:rFonts w:ascii="Calibri" w:hAnsi="Calibri"/>
                <w:color w:val="000000"/>
                <w:sz w:val="18"/>
                <w:szCs w:val="18"/>
              </w:rPr>
            </w:pPr>
          </w:p>
        </w:tc>
        <w:tc>
          <w:tcPr>
            <w:tcW w:w="2260" w:type="dxa"/>
            <w:tcBorders>
              <w:top w:val="single" w:sz="4" w:space="0" w:color="auto"/>
              <w:left w:val="nil"/>
              <w:bottom w:val="single" w:sz="8" w:space="0" w:color="auto"/>
              <w:right w:val="single" w:sz="4" w:space="0" w:color="auto"/>
            </w:tcBorders>
            <w:shd w:val="clear" w:color="auto" w:fill="auto"/>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F84534" w:rsidRDefault="00F84534" w:rsidP="00FF4A3B">
            <w:pPr>
              <w:rPr>
                <w:rFonts w:ascii="Calibri" w:hAnsi="Calibri"/>
                <w:color w:val="000000"/>
                <w:sz w:val="18"/>
                <w:szCs w:val="18"/>
              </w:rPr>
            </w:pPr>
            <w:r>
              <w:rPr>
                <w:rFonts w:ascii="Calibri" w:hAnsi="Calibri"/>
                <w:color w:val="000000"/>
                <w:sz w:val="18"/>
                <w:szCs w:val="18"/>
              </w:rPr>
              <w:t> </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 </w:t>
            </w:r>
          </w:p>
        </w:tc>
      </w:tr>
      <w:tr w:rsidR="00F84534" w:rsidTr="00FF4A3B">
        <w:trPr>
          <w:trHeight w:val="113"/>
        </w:trPr>
        <w:tc>
          <w:tcPr>
            <w:tcW w:w="2839" w:type="dxa"/>
            <w:tcBorders>
              <w:top w:val="nil"/>
              <w:left w:val="nil"/>
              <w:bottom w:val="nil"/>
              <w:right w:val="nil"/>
            </w:tcBorders>
            <w:shd w:val="clear" w:color="auto" w:fill="auto"/>
            <w:vAlign w:val="center"/>
            <w:hideMark/>
          </w:tcPr>
          <w:p w:rsidR="00F84534" w:rsidRDefault="00F84534" w:rsidP="00FF4A3B">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F84534" w:rsidRDefault="00F84534" w:rsidP="00FF4A3B">
            <w:pPr>
              <w:rPr>
                <w:sz w:val="20"/>
                <w:szCs w:val="20"/>
              </w:rPr>
            </w:pPr>
          </w:p>
        </w:tc>
        <w:tc>
          <w:tcPr>
            <w:tcW w:w="204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c>
          <w:tcPr>
            <w:tcW w:w="2260" w:type="dxa"/>
            <w:tcBorders>
              <w:top w:val="nil"/>
              <w:left w:val="nil"/>
              <w:bottom w:val="nil"/>
              <w:right w:val="nil"/>
            </w:tcBorders>
            <w:shd w:val="clear" w:color="auto" w:fill="auto"/>
            <w:vAlign w:val="center"/>
            <w:hideMark/>
          </w:tcPr>
          <w:p w:rsidR="00F84534" w:rsidRDefault="00F84534" w:rsidP="00FF4A3B">
            <w:pPr>
              <w:jc w:val="center"/>
              <w:rPr>
                <w:sz w:val="20"/>
                <w:szCs w:val="20"/>
              </w:rPr>
            </w:pPr>
          </w:p>
        </w:tc>
        <w:tc>
          <w:tcPr>
            <w:tcW w:w="1120" w:type="dxa"/>
            <w:tcBorders>
              <w:top w:val="nil"/>
              <w:left w:val="nil"/>
              <w:bottom w:val="nil"/>
              <w:right w:val="nil"/>
            </w:tcBorders>
            <w:shd w:val="clear" w:color="auto" w:fill="auto"/>
            <w:noWrap/>
            <w:vAlign w:val="bottom"/>
            <w:hideMark/>
          </w:tcPr>
          <w:p w:rsidR="00F84534" w:rsidRDefault="00F84534" w:rsidP="00FF4A3B">
            <w:pPr>
              <w:jc w:val="center"/>
              <w:rPr>
                <w:sz w:val="20"/>
                <w:szCs w:val="20"/>
              </w:rPr>
            </w:pPr>
          </w:p>
        </w:tc>
        <w:tc>
          <w:tcPr>
            <w:tcW w:w="880" w:type="dxa"/>
            <w:tcBorders>
              <w:top w:val="nil"/>
              <w:left w:val="nil"/>
              <w:bottom w:val="nil"/>
              <w:right w:val="nil"/>
            </w:tcBorders>
            <w:shd w:val="clear" w:color="auto" w:fill="auto"/>
            <w:noWrap/>
            <w:vAlign w:val="bottom"/>
            <w:hideMark/>
          </w:tcPr>
          <w:p w:rsidR="00F84534" w:rsidRDefault="00F84534" w:rsidP="00FF4A3B">
            <w:pPr>
              <w:rPr>
                <w:sz w:val="20"/>
                <w:szCs w:val="20"/>
              </w:rPr>
            </w:pPr>
          </w:p>
        </w:tc>
      </w:tr>
      <w:tr w:rsidR="00F84534" w:rsidTr="00FF4A3B">
        <w:trPr>
          <w:trHeight w:val="191"/>
        </w:trPr>
        <w:tc>
          <w:tcPr>
            <w:tcW w:w="283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TOTAL</w:t>
            </w:r>
          </w:p>
        </w:tc>
        <w:tc>
          <w:tcPr>
            <w:tcW w:w="901" w:type="dxa"/>
            <w:tcBorders>
              <w:top w:val="single" w:sz="8" w:space="0" w:color="auto"/>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51</w:t>
            </w:r>
          </w:p>
        </w:tc>
        <w:tc>
          <w:tcPr>
            <w:tcW w:w="2040" w:type="dxa"/>
            <w:tcBorders>
              <w:top w:val="single" w:sz="8" w:space="0" w:color="auto"/>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1</w:t>
            </w:r>
          </w:p>
        </w:tc>
        <w:tc>
          <w:tcPr>
            <w:tcW w:w="2260" w:type="dxa"/>
            <w:tcBorders>
              <w:top w:val="single" w:sz="8" w:space="0" w:color="auto"/>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3</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2</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4</w:t>
            </w:r>
          </w:p>
        </w:tc>
      </w:tr>
      <w:tr w:rsidR="00F84534" w:rsidTr="00FF4A3B">
        <w:trPr>
          <w:trHeight w:val="204"/>
        </w:trPr>
        <w:tc>
          <w:tcPr>
            <w:tcW w:w="3740" w:type="dxa"/>
            <w:gridSpan w:val="2"/>
            <w:tcBorders>
              <w:top w:val="single" w:sz="4" w:space="0" w:color="auto"/>
              <w:left w:val="single" w:sz="8" w:space="0" w:color="auto"/>
              <w:bottom w:val="nil"/>
              <w:right w:val="single" w:sz="4" w:space="0" w:color="000000"/>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300" w:type="dxa"/>
            <w:gridSpan w:val="4"/>
            <w:tcBorders>
              <w:top w:val="single" w:sz="4" w:space="0" w:color="auto"/>
              <w:left w:val="nil"/>
              <w:bottom w:val="nil"/>
              <w:right w:val="single" w:sz="8" w:space="0" w:color="000000"/>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61</w:t>
            </w:r>
          </w:p>
        </w:tc>
      </w:tr>
      <w:tr w:rsidR="00F84534" w:rsidTr="00FF4A3B">
        <w:trPr>
          <w:trHeight w:val="249"/>
        </w:trPr>
        <w:tc>
          <w:tcPr>
            <w:tcW w:w="37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52</w:t>
            </w:r>
          </w:p>
        </w:tc>
      </w:tr>
      <w:tr w:rsidR="00F84534" w:rsidTr="00FF4A3B">
        <w:trPr>
          <w:trHeight w:val="1821"/>
        </w:trPr>
        <w:tc>
          <w:tcPr>
            <w:tcW w:w="37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r>
            <w:r>
              <w:rPr>
                <w:rFonts w:ascii="Arial" w:hAnsi="Arial" w:cs="Arial"/>
                <w:i/>
                <w:iCs/>
                <w:sz w:val="16"/>
                <w:szCs w:val="16"/>
              </w:rPr>
              <w:t xml:space="preserve">(article 2 de l'Ordonnance n°2020-391 du 1er avril 2020 </w:t>
            </w:r>
            <w:r>
              <w:rPr>
                <w:rFonts w:ascii="Arial" w:hAnsi="Arial" w:cs="Arial"/>
                <w:i/>
                <w:iCs/>
                <w:sz w:val="16"/>
                <w:szCs w:val="16"/>
              </w:rPr>
              <w:br/>
              <w:t>IV de l'article 6 de la Loi n°2020-1379 du 14 novembre 2020</w:t>
            </w:r>
            <w:r>
              <w:rPr>
                <w:rFonts w:ascii="Arial" w:hAnsi="Arial" w:cs="Arial"/>
                <w:i/>
                <w:iCs/>
                <w:sz w:val="16"/>
                <w:szCs w:val="16"/>
              </w:rPr>
              <w:br/>
              <w:t xml:space="preserve">V de l'article 10 de la Loi n°2021-1465 du 10 novembre 2021) </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21</w:t>
            </w:r>
          </w:p>
        </w:tc>
      </w:tr>
      <w:tr w:rsidR="00F84534" w:rsidTr="00FF4A3B">
        <w:trPr>
          <w:trHeight w:val="2105"/>
        </w:trPr>
        <w:tc>
          <w:tcPr>
            <w:tcW w:w="37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F84534" w:rsidRDefault="00F84534" w:rsidP="00FF4A3B">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30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F84534" w:rsidRDefault="00F84534" w:rsidP="00FF4A3B">
            <w:pPr>
              <w:jc w:val="center"/>
              <w:rPr>
                <w:rFonts w:ascii="Calibri" w:hAnsi="Calibri"/>
                <w:b/>
                <w:bCs/>
                <w:color w:val="000000"/>
                <w:sz w:val="18"/>
                <w:szCs w:val="18"/>
              </w:rPr>
            </w:pPr>
            <w:r>
              <w:rPr>
                <w:rFonts w:ascii="Calibri" w:hAnsi="Calibri"/>
                <w:b/>
                <w:bCs/>
                <w:color w:val="000000"/>
                <w:sz w:val="18"/>
                <w:szCs w:val="18"/>
              </w:rPr>
              <w:t>55</w:t>
            </w:r>
          </w:p>
        </w:tc>
      </w:tr>
    </w:tbl>
    <w:p w:rsidR="00014AE9" w:rsidRPr="00F60A16" w:rsidRDefault="007D55A3" w:rsidP="001B0BDC">
      <w:pPr>
        <w:ind w:right="-851"/>
        <w:jc w:val="both"/>
        <w:rPr>
          <w:rFonts w:ascii="Arial" w:hAnsi="Arial" w:cs="Arial"/>
          <w:b/>
          <w:sz w:val="20"/>
        </w:rPr>
      </w:pPr>
      <w:sdt>
        <w:sdtPr>
          <w:rPr>
            <w:rFonts w:ascii="Arial" w:hAnsi="Arial" w:cs="Arial"/>
            <w:b/>
            <w:sz w:val="20"/>
          </w:rPr>
          <w:id w:val="18689018"/>
          <w:placeholder>
            <w:docPart w:val="3ED5969E773D4403A9E595076BE153BA"/>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EndPr/>
        <w:sdtContent>
          <w:r w:rsidR="00624F40">
            <w:rPr>
              <w:rFonts w:ascii="Arial" w:hAnsi="Arial" w:cs="Arial"/>
              <w:b/>
              <w:sz w:val="20"/>
            </w:rPr>
            <w:t>M. Gilles FAUCON</w:t>
          </w:r>
        </w:sdtContent>
      </w:sdt>
      <w:r w:rsidR="00535176">
        <w:rPr>
          <w:rFonts w:ascii="Arial" w:hAnsi="Arial" w:cs="Arial"/>
          <w:b/>
          <w:sz w:val="20"/>
        </w:rPr>
        <w:t xml:space="preserve"> </w:t>
      </w:r>
      <w:r w:rsidR="00014AE9" w:rsidRPr="00F60A16">
        <w:rPr>
          <w:rFonts w:ascii="Arial" w:hAnsi="Arial" w:cs="Arial"/>
          <w:b/>
          <w:sz w:val="20"/>
        </w:rPr>
        <w:t>donne lecture du rapport suivant :</w:t>
      </w:r>
    </w:p>
    <w:p w:rsidR="00014AE9" w:rsidRPr="003346E0" w:rsidRDefault="00014AE9" w:rsidP="00B261C6">
      <w:pPr>
        <w:ind w:right="-851" w:firstLine="708"/>
        <w:jc w:val="both"/>
        <w:rPr>
          <w:rFonts w:ascii="Arial" w:hAnsi="Arial" w:cs="Arial"/>
          <w:sz w:val="12"/>
          <w:szCs w:val="12"/>
        </w:rPr>
      </w:pPr>
    </w:p>
    <w:p w:rsidR="00014AE9" w:rsidRDefault="00014AE9" w:rsidP="001B0BDC">
      <w:pPr>
        <w:ind w:right="-851"/>
        <w:jc w:val="both"/>
        <w:rPr>
          <w:rFonts w:ascii="Arial" w:hAnsi="Arial" w:cs="Arial"/>
          <w:sz w:val="20"/>
        </w:rPr>
      </w:pPr>
      <w:r>
        <w:rPr>
          <w:rFonts w:ascii="Arial" w:hAnsi="Arial" w:cs="Arial"/>
          <w:sz w:val="20"/>
        </w:rPr>
        <w:t>Chers collègues,</w:t>
      </w:r>
    </w:p>
    <w:p w:rsidR="00014AE9" w:rsidRPr="008F72A8" w:rsidRDefault="00014AE9" w:rsidP="001B0BDC">
      <w:pPr>
        <w:ind w:right="-290"/>
        <w:jc w:val="both"/>
        <w:rPr>
          <w:rFonts w:ascii="Arial" w:hAnsi="Arial" w:cs="Arial"/>
          <w:sz w:val="12"/>
          <w:szCs w:val="12"/>
        </w:rPr>
      </w:pPr>
    </w:p>
    <w:p w:rsidR="00624F40" w:rsidRPr="00386DD0" w:rsidRDefault="00624F40" w:rsidP="00624F40">
      <w:pPr>
        <w:jc w:val="both"/>
        <w:rPr>
          <w:rFonts w:ascii="Arial" w:hAnsi="Arial" w:cs="Arial"/>
          <w:sz w:val="20"/>
          <w:szCs w:val="20"/>
        </w:rPr>
      </w:pPr>
      <w:r w:rsidRPr="00386DD0">
        <w:rPr>
          <w:rFonts w:ascii="Arial" w:hAnsi="Arial" w:cs="Arial"/>
          <w:sz w:val="20"/>
          <w:szCs w:val="20"/>
        </w:rPr>
        <w:t xml:space="preserve">Depuis 2007, dans le cadre de leur politique d'accompagnement social à l’emploi, les collectivités locales et leurs établissements ont la possibilité de participer financièrement aux contrats souscrits par leurs agents en matière de santé et/ou de prévoyance, pour faciliter l’accès aux soins et couvrir la perte de rémunération en cas d’arrêt prolongé de travail lié à une maladie ou à un accident. </w:t>
      </w:r>
    </w:p>
    <w:p w:rsidR="00624F40" w:rsidRPr="00386DD0" w:rsidRDefault="00624F40" w:rsidP="008F72A8">
      <w:pPr>
        <w:spacing w:before="120"/>
        <w:jc w:val="both"/>
        <w:rPr>
          <w:rFonts w:ascii="Arial" w:hAnsi="Arial" w:cs="Arial"/>
          <w:sz w:val="20"/>
          <w:szCs w:val="20"/>
        </w:rPr>
      </w:pPr>
      <w:r w:rsidRPr="00386DD0">
        <w:rPr>
          <w:rFonts w:ascii="Arial" w:hAnsi="Arial" w:cs="Arial"/>
          <w:sz w:val="20"/>
          <w:szCs w:val="20"/>
        </w:rPr>
        <w:t xml:space="preserve">Ce dispositif de protection sociale complémentaire permet actuellement aux employeurs publics de participer : </w:t>
      </w:r>
    </w:p>
    <w:p w:rsidR="00624F40" w:rsidRPr="009D4994" w:rsidRDefault="00624F40" w:rsidP="008F72A8">
      <w:pPr>
        <w:pStyle w:val="Paragraphedeliste"/>
        <w:numPr>
          <w:ilvl w:val="0"/>
          <w:numId w:val="12"/>
        </w:numPr>
        <w:spacing w:before="120"/>
        <w:ind w:left="284" w:hanging="284"/>
        <w:jc w:val="both"/>
        <w:rPr>
          <w:rFonts w:ascii="Arial" w:hAnsi="Arial" w:cs="Arial"/>
          <w:sz w:val="20"/>
          <w:szCs w:val="20"/>
        </w:rPr>
      </w:pPr>
      <w:r w:rsidRPr="003F0A1F">
        <w:rPr>
          <w:rFonts w:ascii="Arial" w:hAnsi="Arial" w:cs="Arial"/>
          <w:sz w:val="20"/>
          <w:szCs w:val="20"/>
        </w:rPr>
        <w:t xml:space="preserve">Soit au coût des contrats individuels souscrits directement par les agents dès lors que ceux-ci sont labellisés, c’est-à-dire référencés par des organismes accrédités. La collectivité a opté pour cette solution en intégrant dans sa participation la famille de l’agent au travers de la délibération du </w:t>
      </w:r>
      <w:r>
        <w:rPr>
          <w:rFonts w:ascii="Arial" w:hAnsi="Arial" w:cs="Arial"/>
          <w:sz w:val="20"/>
          <w:szCs w:val="20"/>
        </w:rPr>
        <w:br/>
      </w:r>
      <w:r w:rsidRPr="009D4994">
        <w:rPr>
          <w:rFonts w:ascii="Arial" w:hAnsi="Arial" w:cs="Arial"/>
          <w:sz w:val="20"/>
          <w:szCs w:val="20"/>
        </w:rPr>
        <w:t xml:space="preserve">28 février 2019. En effet, la participation est de 13 € par agent de droit public ou privé, 10 € pour le conjoint s’il est intégré au contrat et 5 € par enfant également présent sur le contrat de l’agent. </w:t>
      </w:r>
    </w:p>
    <w:p w:rsidR="00624F40" w:rsidRPr="003F0A1F" w:rsidRDefault="00624F40" w:rsidP="00624F40">
      <w:pPr>
        <w:pStyle w:val="Paragraphedeliste"/>
        <w:ind w:left="284" w:hanging="284"/>
        <w:jc w:val="both"/>
        <w:rPr>
          <w:rFonts w:ascii="Arial" w:hAnsi="Arial" w:cs="Arial"/>
          <w:sz w:val="12"/>
          <w:szCs w:val="12"/>
        </w:rPr>
      </w:pPr>
      <w:r w:rsidRPr="003F0A1F">
        <w:rPr>
          <w:rFonts w:ascii="Arial" w:hAnsi="Arial" w:cs="Arial"/>
          <w:sz w:val="20"/>
          <w:szCs w:val="20"/>
        </w:rPr>
        <w:t xml:space="preserve"> </w:t>
      </w:r>
    </w:p>
    <w:p w:rsidR="00624F40" w:rsidRPr="003F0A1F" w:rsidRDefault="00624F40" w:rsidP="00624F40">
      <w:pPr>
        <w:pStyle w:val="Paragraphedeliste"/>
        <w:numPr>
          <w:ilvl w:val="0"/>
          <w:numId w:val="12"/>
        </w:numPr>
        <w:spacing w:before="240" w:after="160"/>
        <w:ind w:left="284" w:hanging="284"/>
        <w:jc w:val="both"/>
        <w:rPr>
          <w:rFonts w:ascii="Arial" w:hAnsi="Arial" w:cs="Arial"/>
          <w:sz w:val="20"/>
          <w:szCs w:val="20"/>
        </w:rPr>
      </w:pPr>
      <w:r w:rsidRPr="003F0A1F">
        <w:rPr>
          <w:rFonts w:ascii="Arial" w:hAnsi="Arial" w:cs="Arial"/>
          <w:sz w:val="20"/>
          <w:szCs w:val="20"/>
        </w:rPr>
        <w:t xml:space="preserve">Soit au coût des contrats souscrits par les employeurs eux-mêmes auprès de prestataires mutualistes, dans le cadre de conventions dite de participation signée après une mise en concurrence afin de sélectionner une offre répondant aux besoins propres de leurs agents. Cette procédure peut être conduite par la collectivité elle-même ou être confiée au Centre de gestion agissant de manière groupée pour toutes les collectivités intéressées. </w:t>
      </w:r>
    </w:p>
    <w:p w:rsidR="00624F40" w:rsidRPr="00386DD0" w:rsidRDefault="00624F40" w:rsidP="00624F40">
      <w:pPr>
        <w:jc w:val="both"/>
        <w:rPr>
          <w:rFonts w:ascii="Arial" w:hAnsi="Arial" w:cs="Arial"/>
          <w:sz w:val="20"/>
          <w:szCs w:val="20"/>
        </w:rPr>
      </w:pPr>
      <w:r w:rsidRPr="00386DD0">
        <w:rPr>
          <w:rFonts w:ascii="Arial" w:hAnsi="Arial" w:cs="Arial"/>
          <w:sz w:val="20"/>
          <w:szCs w:val="20"/>
        </w:rPr>
        <w:t>Pour leur part, depuis le 1</w:t>
      </w:r>
      <w:r w:rsidRPr="003F0A1F">
        <w:rPr>
          <w:rFonts w:ascii="Arial" w:hAnsi="Arial" w:cs="Arial"/>
          <w:sz w:val="20"/>
          <w:szCs w:val="20"/>
          <w:vertAlign w:val="superscript"/>
        </w:rPr>
        <w:t>er</w:t>
      </w:r>
      <w:r>
        <w:rPr>
          <w:rFonts w:ascii="Arial" w:hAnsi="Arial" w:cs="Arial"/>
          <w:sz w:val="20"/>
          <w:szCs w:val="20"/>
        </w:rPr>
        <w:t xml:space="preserve"> </w:t>
      </w:r>
      <w:r w:rsidRPr="00386DD0">
        <w:rPr>
          <w:rFonts w:ascii="Arial" w:hAnsi="Arial" w:cs="Arial"/>
          <w:sz w:val="20"/>
          <w:szCs w:val="20"/>
        </w:rPr>
        <w:t xml:space="preserve">janvier 2016, les employeurs du secteur privé ont l’obligation de proposer une couverture complémentaire de santé collective à l'ensemble de leurs salariés, avec une obligation de financement au minimum de 50% de la cotisation. Les salariés, quant à eux, ont en principe l’obligation d’adhérer à la mutuelle collective. </w:t>
      </w:r>
    </w:p>
    <w:p w:rsidR="00624F40" w:rsidRPr="00386DD0" w:rsidRDefault="00624F40" w:rsidP="00F84534">
      <w:pPr>
        <w:spacing w:before="120"/>
        <w:jc w:val="both"/>
        <w:rPr>
          <w:rFonts w:ascii="Arial" w:hAnsi="Arial" w:cs="Arial"/>
          <w:sz w:val="20"/>
          <w:szCs w:val="20"/>
        </w:rPr>
      </w:pPr>
      <w:r w:rsidRPr="00386DD0">
        <w:rPr>
          <w:rFonts w:ascii="Arial" w:hAnsi="Arial" w:cs="Arial"/>
          <w:sz w:val="20"/>
          <w:szCs w:val="20"/>
        </w:rPr>
        <w:t xml:space="preserve">Dans le but d’harmoniser les pratiques et les droits entre la fonction publique et les entreprises privées, le législateur a souhaité engager une réforme de la protection sociale complémentaire à travers la loi du 6 août 2019 de transformation de la fonction publique. </w:t>
      </w:r>
    </w:p>
    <w:p w:rsidR="00624F40" w:rsidRPr="00386DD0" w:rsidRDefault="00624F40" w:rsidP="008F72A8">
      <w:pPr>
        <w:spacing w:before="120"/>
        <w:jc w:val="both"/>
        <w:rPr>
          <w:rFonts w:ascii="Arial" w:hAnsi="Arial" w:cs="Arial"/>
          <w:b/>
          <w:sz w:val="20"/>
          <w:szCs w:val="20"/>
          <w:u w:val="single"/>
        </w:rPr>
      </w:pPr>
      <w:r w:rsidRPr="00386DD0">
        <w:rPr>
          <w:rFonts w:ascii="Arial" w:hAnsi="Arial" w:cs="Arial"/>
          <w:b/>
          <w:sz w:val="20"/>
          <w:szCs w:val="20"/>
          <w:u w:val="single"/>
        </w:rPr>
        <w:t xml:space="preserve">Les nouvelles obligations en matière de protection sociale complémentaire : </w:t>
      </w:r>
    </w:p>
    <w:p w:rsidR="00624F40" w:rsidRPr="00386DD0" w:rsidRDefault="00624F40" w:rsidP="008F72A8">
      <w:pPr>
        <w:spacing w:before="120"/>
        <w:jc w:val="both"/>
        <w:rPr>
          <w:rFonts w:ascii="Arial" w:hAnsi="Arial" w:cs="Arial"/>
          <w:sz w:val="20"/>
          <w:szCs w:val="20"/>
        </w:rPr>
      </w:pPr>
      <w:r w:rsidRPr="00386DD0">
        <w:rPr>
          <w:rFonts w:ascii="Arial" w:hAnsi="Arial" w:cs="Arial"/>
          <w:sz w:val="20"/>
          <w:szCs w:val="20"/>
        </w:rPr>
        <w:t xml:space="preserve">Prise en application de cette loi, l’ordonnance n°2021-175 du 17 février 2021 redéfinit la participation des employeurs publics au financement des garanties de protection sociale complémentaire de leurs agents fonctionnaires et contractuels de droit public. </w:t>
      </w:r>
    </w:p>
    <w:p w:rsidR="00624F40" w:rsidRPr="00386DD0" w:rsidRDefault="00624F40" w:rsidP="008F72A8">
      <w:pPr>
        <w:spacing w:before="120"/>
        <w:jc w:val="both"/>
        <w:rPr>
          <w:rFonts w:ascii="Arial" w:hAnsi="Arial" w:cs="Arial"/>
          <w:sz w:val="20"/>
          <w:szCs w:val="20"/>
        </w:rPr>
      </w:pPr>
      <w:r w:rsidRPr="00386DD0">
        <w:rPr>
          <w:rFonts w:ascii="Arial" w:hAnsi="Arial" w:cs="Arial"/>
          <w:sz w:val="20"/>
          <w:szCs w:val="20"/>
        </w:rPr>
        <w:t xml:space="preserve">Dans l’attente des décrets d’application qui devraient paraître d’ici la fin de l’année, un certain nombre de disposition sont d’ores et déjà connues. </w:t>
      </w:r>
    </w:p>
    <w:p w:rsidR="00624F40" w:rsidRPr="00386DD0" w:rsidRDefault="00624F40" w:rsidP="008F72A8">
      <w:pPr>
        <w:spacing w:before="120"/>
        <w:jc w:val="both"/>
        <w:rPr>
          <w:rFonts w:ascii="Arial" w:hAnsi="Arial" w:cs="Arial"/>
          <w:sz w:val="20"/>
          <w:szCs w:val="20"/>
        </w:rPr>
      </w:pPr>
      <w:r w:rsidRPr="00386DD0">
        <w:rPr>
          <w:rFonts w:ascii="Arial" w:hAnsi="Arial" w:cs="Arial"/>
          <w:sz w:val="20"/>
          <w:szCs w:val="20"/>
        </w:rPr>
        <w:t xml:space="preserve">Ainsi, la participation financière des employeurs publics, jusqu’à présent facultative, deviendra obligatoire au : </w:t>
      </w:r>
    </w:p>
    <w:p w:rsidR="00624F40" w:rsidRDefault="00624F40" w:rsidP="008F72A8">
      <w:pPr>
        <w:pStyle w:val="Paragraphedeliste"/>
        <w:numPr>
          <w:ilvl w:val="0"/>
          <w:numId w:val="12"/>
        </w:numPr>
        <w:spacing w:before="120"/>
        <w:jc w:val="both"/>
        <w:rPr>
          <w:rFonts w:ascii="Arial" w:hAnsi="Arial" w:cs="Arial"/>
          <w:sz w:val="20"/>
          <w:szCs w:val="20"/>
        </w:rPr>
      </w:pPr>
      <w:r w:rsidRPr="003F0A1F">
        <w:rPr>
          <w:rFonts w:ascii="Arial" w:hAnsi="Arial" w:cs="Arial"/>
          <w:sz w:val="20"/>
          <w:szCs w:val="20"/>
        </w:rPr>
        <w:t>1</w:t>
      </w:r>
      <w:r w:rsidRPr="003F0A1F">
        <w:rPr>
          <w:rFonts w:ascii="Arial" w:hAnsi="Arial" w:cs="Arial"/>
          <w:sz w:val="20"/>
          <w:szCs w:val="20"/>
          <w:vertAlign w:val="superscript"/>
        </w:rPr>
        <w:t>er</w:t>
      </w:r>
      <w:r w:rsidRPr="003F0A1F">
        <w:rPr>
          <w:rFonts w:ascii="Arial" w:hAnsi="Arial" w:cs="Arial"/>
          <w:sz w:val="20"/>
          <w:szCs w:val="20"/>
        </w:rPr>
        <w:t xml:space="preserve"> janvier 2025 pour les contrats de prévoyance souscrits par la voie de la labellisation ou de la convention de participation. L’aide de l’employeur sera au minimum de 20% d’un montant de référence précisé par décret, </w:t>
      </w:r>
    </w:p>
    <w:p w:rsidR="00624F40" w:rsidRPr="003F0A1F" w:rsidRDefault="00624F40" w:rsidP="00624F40">
      <w:pPr>
        <w:pStyle w:val="Paragraphedeliste"/>
        <w:jc w:val="both"/>
        <w:rPr>
          <w:rFonts w:ascii="Arial" w:hAnsi="Arial" w:cs="Arial"/>
          <w:sz w:val="12"/>
          <w:szCs w:val="12"/>
        </w:rPr>
      </w:pPr>
      <w:r w:rsidRPr="003F0A1F">
        <w:rPr>
          <w:rFonts w:ascii="Arial" w:hAnsi="Arial" w:cs="Arial"/>
          <w:sz w:val="20"/>
          <w:szCs w:val="20"/>
        </w:rPr>
        <w:t xml:space="preserve"> </w:t>
      </w:r>
    </w:p>
    <w:p w:rsidR="00624F40" w:rsidRPr="003F0A1F" w:rsidRDefault="00624F40" w:rsidP="00624F40">
      <w:pPr>
        <w:pStyle w:val="Paragraphedeliste"/>
        <w:numPr>
          <w:ilvl w:val="0"/>
          <w:numId w:val="12"/>
        </w:numPr>
        <w:spacing w:before="100" w:beforeAutospacing="1" w:after="160"/>
        <w:jc w:val="both"/>
        <w:rPr>
          <w:rFonts w:ascii="Arial" w:hAnsi="Arial" w:cs="Arial"/>
          <w:sz w:val="20"/>
          <w:szCs w:val="20"/>
        </w:rPr>
      </w:pPr>
      <w:r w:rsidRPr="003F0A1F">
        <w:rPr>
          <w:rFonts w:ascii="Arial" w:hAnsi="Arial" w:cs="Arial"/>
          <w:sz w:val="20"/>
          <w:szCs w:val="20"/>
        </w:rPr>
        <w:t>1</w:t>
      </w:r>
      <w:r w:rsidRPr="003F0A1F">
        <w:rPr>
          <w:rFonts w:ascii="Arial" w:hAnsi="Arial" w:cs="Arial"/>
          <w:sz w:val="20"/>
          <w:szCs w:val="20"/>
          <w:vertAlign w:val="superscript"/>
        </w:rPr>
        <w:t>er</w:t>
      </w:r>
      <w:r w:rsidRPr="003F0A1F">
        <w:rPr>
          <w:rFonts w:ascii="Arial" w:hAnsi="Arial" w:cs="Arial"/>
          <w:sz w:val="20"/>
          <w:szCs w:val="20"/>
        </w:rPr>
        <w:t xml:space="preserve"> janvier 2026 pour les contrats de santé souscrits par la voie de la labellisation ou de la convention de participation. L’aide de l’employeur sera alors de 50% minimum d’un montant de référence précisé par décret. </w:t>
      </w:r>
    </w:p>
    <w:p w:rsidR="00624F40" w:rsidRPr="00386DD0" w:rsidRDefault="00624F40" w:rsidP="00624F40">
      <w:pPr>
        <w:jc w:val="both"/>
        <w:rPr>
          <w:rFonts w:ascii="Arial" w:hAnsi="Arial" w:cs="Arial"/>
          <w:sz w:val="20"/>
          <w:szCs w:val="20"/>
        </w:rPr>
      </w:pPr>
      <w:r w:rsidRPr="00386DD0">
        <w:rPr>
          <w:rFonts w:ascii="Arial" w:hAnsi="Arial" w:cs="Arial"/>
          <w:sz w:val="20"/>
          <w:szCs w:val="20"/>
        </w:rPr>
        <w:t>Néanmoins, pour les conventions de participation déjà mis</w:t>
      </w:r>
      <w:r>
        <w:rPr>
          <w:rFonts w:ascii="Arial" w:hAnsi="Arial" w:cs="Arial"/>
          <w:sz w:val="20"/>
          <w:szCs w:val="20"/>
        </w:rPr>
        <w:t>e en place avant le 1</w:t>
      </w:r>
      <w:r w:rsidRPr="003F0A1F">
        <w:rPr>
          <w:rFonts w:ascii="Arial" w:hAnsi="Arial" w:cs="Arial"/>
          <w:sz w:val="20"/>
          <w:szCs w:val="20"/>
          <w:vertAlign w:val="superscript"/>
        </w:rPr>
        <w:t>er</w:t>
      </w:r>
      <w:r>
        <w:rPr>
          <w:rFonts w:ascii="Arial" w:hAnsi="Arial" w:cs="Arial"/>
          <w:sz w:val="20"/>
          <w:szCs w:val="20"/>
        </w:rPr>
        <w:t xml:space="preserve"> </w:t>
      </w:r>
      <w:r w:rsidRPr="00386DD0">
        <w:rPr>
          <w:rFonts w:ascii="Arial" w:hAnsi="Arial" w:cs="Arial"/>
          <w:sz w:val="20"/>
          <w:szCs w:val="20"/>
        </w:rPr>
        <w:t xml:space="preserve">janvier 2022, les dispositions de l'ordonnance ne seront applicables aux employeurs publics qu'au terme des conventions. </w:t>
      </w:r>
    </w:p>
    <w:p w:rsidR="00624F40" w:rsidRPr="00386DD0" w:rsidRDefault="00624F40" w:rsidP="008F72A8">
      <w:pPr>
        <w:spacing w:before="120"/>
        <w:jc w:val="both"/>
        <w:rPr>
          <w:rFonts w:ascii="Arial" w:hAnsi="Arial" w:cs="Arial"/>
          <w:sz w:val="20"/>
          <w:szCs w:val="20"/>
        </w:rPr>
      </w:pPr>
      <w:r w:rsidRPr="00386DD0">
        <w:rPr>
          <w:rFonts w:ascii="Arial" w:hAnsi="Arial" w:cs="Arial"/>
          <w:sz w:val="20"/>
          <w:szCs w:val="20"/>
        </w:rPr>
        <w:t xml:space="preserve">Pour la mise en œuvre de cette réforme au niveau local, l’ordonnance prévoit que les collectivités et leurs établissements organisent, au sein de leurs assemblées délibérantes, </w:t>
      </w:r>
      <w:r w:rsidRPr="00386DD0">
        <w:rPr>
          <w:rFonts w:ascii="Arial" w:hAnsi="Arial" w:cs="Arial"/>
          <w:b/>
          <w:sz w:val="20"/>
          <w:szCs w:val="20"/>
        </w:rPr>
        <w:t>un débat sur la protection sociale complémentaire dans un délai d'un an à compter de la publication de l'ordonnance, soit avant le 18 février 2022</w:t>
      </w:r>
      <w:r w:rsidRPr="00386DD0">
        <w:rPr>
          <w:rFonts w:ascii="Arial" w:hAnsi="Arial" w:cs="Arial"/>
          <w:sz w:val="20"/>
          <w:szCs w:val="20"/>
        </w:rPr>
        <w:t xml:space="preserve"> puis, régulièrement, dans un délai de 6 mois à la suite du renouvellement général de ces assemblées. </w:t>
      </w:r>
    </w:p>
    <w:p w:rsidR="00624F40" w:rsidRPr="00386DD0" w:rsidRDefault="00624F40" w:rsidP="008F72A8">
      <w:pPr>
        <w:spacing w:before="120"/>
        <w:jc w:val="both"/>
        <w:rPr>
          <w:rFonts w:ascii="Arial" w:hAnsi="Arial" w:cs="Arial"/>
          <w:sz w:val="20"/>
          <w:szCs w:val="20"/>
        </w:rPr>
      </w:pPr>
      <w:r w:rsidRPr="00386DD0">
        <w:rPr>
          <w:rFonts w:ascii="Arial" w:hAnsi="Arial" w:cs="Arial"/>
          <w:sz w:val="20"/>
          <w:szCs w:val="20"/>
        </w:rPr>
        <w:t xml:space="preserve">Ce débat doit notamment porter sur les enjeux de la protection sociale complémentaire, la nature des garanties envisagées, le niveau de participation de la collectivité et sa trajectoire, le calendrier de mise en œuvre et l’éventuel caractère obligatoire des contrats sur accord majoritaire. </w:t>
      </w:r>
    </w:p>
    <w:p w:rsidR="00624F40" w:rsidRPr="00386DD0" w:rsidRDefault="00624F40" w:rsidP="008F72A8">
      <w:pPr>
        <w:spacing w:before="120"/>
        <w:jc w:val="both"/>
        <w:rPr>
          <w:rFonts w:ascii="Arial" w:hAnsi="Arial" w:cs="Arial"/>
          <w:sz w:val="20"/>
          <w:szCs w:val="20"/>
        </w:rPr>
      </w:pPr>
      <w:r w:rsidRPr="00386DD0">
        <w:rPr>
          <w:rFonts w:ascii="Arial" w:hAnsi="Arial" w:cs="Arial"/>
          <w:sz w:val="20"/>
          <w:szCs w:val="20"/>
        </w:rPr>
        <w:t xml:space="preserve">Concernant ce dernier point, il est rappelé que l’ordonnance n°2021-174 du 17 février 2021 relative à la négociation et aux accords collectifs dans la fonction publique, prévoit que des accords peuvent être conclus et signés au niveau local dans le cadre de négociations entre les organisations syndicales </w:t>
      </w:r>
      <w:r w:rsidRPr="00386DD0">
        <w:rPr>
          <w:rFonts w:ascii="Arial" w:hAnsi="Arial" w:cs="Arial"/>
          <w:sz w:val="20"/>
          <w:szCs w:val="20"/>
        </w:rPr>
        <w:lastRenderedPageBreak/>
        <w:t xml:space="preserve">représentatives de fonctionnaires et l’autorité territoriale. En cas d’accord majoritaire portant sur les modalités de la mise en place d’un contrat collectif (convention de participation), cet accord pourra prévoir : </w:t>
      </w:r>
    </w:p>
    <w:p w:rsidR="00624F40" w:rsidRDefault="00624F40" w:rsidP="008F72A8">
      <w:pPr>
        <w:pStyle w:val="Paragraphedeliste"/>
        <w:numPr>
          <w:ilvl w:val="0"/>
          <w:numId w:val="12"/>
        </w:numPr>
        <w:jc w:val="both"/>
        <w:rPr>
          <w:rFonts w:ascii="Arial" w:hAnsi="Arial" w:cs="Arial"/>
          <w:sz w:val="20"/>
          <w:szCs w:val="20"/>
        </w:rPr>
      </w:pPr>
      <w:r w:rsidRPr="00A53500">
        <w:rPr>
          <w:rFonts w:ascii="Arial" w:hAnsi="Arial" w:cs="Arial"/>
          <w:sz w:val="20"/>
          <w:szCs w:val="20"/>
        </w:rPr>
        <w:t xml:space="preserve">Le niveau de participation de l’employeur au financement de la protection sociale complémentaire en « santé » et/ou « prévoyance ». </w:t>
      </w:r>
    </w:p>
    <w:p w:rsidR="00624F40" w:rsidRPr="00A53500" w:rsidRDefault="00624F40" w:rsidP="00624F40">
      <w:pPr>
        <w:pStyle w:val="Paragraphedeliste"/>
        <w:jc w:val="both"/>
        <w:rPr>
          <w:rFonts w:ascii="Arial" w:hAnsi="Arial" w:cs="Arial"/>
          <w:sz w:val="12"/>
          <w:szCs w:val="12"/>
        </w:rPr>
      </w:pPr>
    </w:p>
    <w:p w:rsidR="00624F40" w:rsidRPr="00A53500" w:rsidRDefault="00624F40" w:rsidP="008F72A8">
      <w:pPr>
        <w:pStyle w:val="Paragraphedeliste"/>
        <w:numPr>
          <w:ilvl w:val="0"/>
          <w:numId w:val="12"/>
        </w:numPr>
        <w:spacing w:before="60" w:after="160"/>
        <w:jc w:val="both"/>
        <w:rPr>
          <w:rFonts w:ascii="Arial" w:hAnsi="Arial" w:cs="Arial"/>
          <w:sz w:val="20"/>
          <w:szCs w:val="20"/>
        </w:rPr>
      </w:pPr>
      <w:r w:rsidRPr="00A53500">
        <w:rPr>
          <w:rFonts w:ascii="Arial" w:hAnsi="Arial" w:cs="Arial"/>
          <w:sz w:val="20"/>
          <w:szCs w:val="20"/>
        </w:rPr>
        <w:t xml:space="preserve">L’adhésion obligatoire des agents à tout ou partie des garanties que ce/ces contrats collectifs comportent. </w:t>
      </w:r>
    </w:p>
    <w:p w:rsidR="00624F40" w:rsidRPr="00386DD0" w:rsidRDefault="00624F40" w:rsidP="00624F40">
      <w:pPr>
        <w:spacing w:after="120"/>
        <w:jc w:val="both"/>
        <w:rPr>
          <w:rFonts w:ascii="Arial" w:hAnsi="Arial" w:cs="Arial"/>
          <w:b/>
          <w:sz w:val="20"/>
          <w:szCs w:val="20"/>
          <w:u w:val="single"/>
        </w:rPr>
      </w:pPr>
      <w:r w:rsidRPr="00386DD0">
        <w:rPr>
          <w:rFonts w:ascii="Arial" w:hAnsi="Arial" w:cs="Arial"/>
          <w:b/>
          <w:sz w:val="20"/>
          <w:szCs w:val="20"/>
          <w:u w:val="single"/>
        </w:rPr>
        <w:t xml:space="preserve">Les enjeux du dispositif de protection sociale complémentaire : </w:t>
      </w:r>
    </w:p>
    <w:p w:rsidR="00624F40" w:rsidRPr="00386DD0" w:rsidRDefault="00624F40" w:rsidP="00624F40">
      <w:pPr>
        <w:spacing w:after="120"/>
        <w:jc w:val="both"/>
        <w:rPr>
          <w:rFonts w:ascii="Arial" w:hAnsi="Arial" w:cs="Arial"/>
          <w:sz w:val="20"/>
          <w:szCs w:val="20"/>
        </w:rPr>
      </w:pPr>
      <w:r w:rsidRPr="00386DD0">
        <w:rPr>
          <w:rFonts w:ascii="Arial" w:hAnsi="Arial" w:cs="Arial"/>
          <w:sz w:val="20"/>
          <w:szCs w:val="20"/>
        </w:rPr>
        <w:t xml:space="preserve">Pour les agents, la protection sociale complémentaire représente un enjeu important compte tenu notamment de l’allongement de la durée des carrières et des problèmes financiers et sociaux que peuvent engendrer des arrêts de travail prolongés et/ou répétés. Dans bien des cas, le placement en demi-traitement ou le recours à des soins coûteux, entraîne des difficultés de tout ordre et parfois des drames humains. L’objectif de la réforme est donc bien de tendre vers une couverture totale des agents de la fonction publique territoriale, à l’instar des salariés du privé aujourd’hui. </w:t>
      </w:r>
    </w:p>
    <w:p w:rsidR="00624F40" w:rsidRPr="00386DD0" w:rsidRDefault="00624F40" w:rsidP="00624F40">
      <w:pPr>
        <w:jc w:val="both"/>
        <w:rPr>
          <w:rFonts w:ascii="Arial" w:hAnsi="Arial" w:cs="Arial"/>
          <w:sz w:val="20"/>
          <w:szCs w:val="20"/>
        </w:rPr>
      </w:pPr>
      <w:r w:rsidRPr="00386DD0">
        <w:rPr>
          <w:rFonts w:ascii="Arial" w:hAnsi="Arial" w:cs="Arial"/>
          <w:sz w:val="20"/>
          <w:szCs w:val="20"/>
        </w:rPr>
        <w:t xml:space="preserve">Pour les employeurs territoriaux, il s’agit d’une véritable opportunité de valoriser leur politique de gestion des ressources humaines. En prenant soin de leurs agents, les collectivités créent une dynamique positive et accroissent l’attractivité des emplois qu’elles ont à pourvoir. In fine, l’objectif est de garantir la qualité de service rendu aux habitants de leur territoire. </w:t>
      </w:r>
    </w:p>
    <w:p w:rsidR="00624F40" w:rsidRPr="00386DD0" w:rsidRDefault="00624F40" w:rsidP="008F72A8">
      <w:pPr>
        <w:spacing w:before="120"/>
        <w:jc w:val="both"/>
        <w:rPr>
          <w:rFonts w:ascii="Arial" w:hAnsi="Arial" w:cs="Arial"/>
          <w:sz w:val="20"/>
          <w:szCs w:val="20"/>
        </w:rPr>
      </w:pPr>
      <w:r w:rsidRPr="00386DD0">
        <w:rPr>
          <w:rFonts w:ascii="Arial" w:hAnsi="Arial" w:cs="Arial"/>
          <w:sz w:val="20"/>
          <w:szCs w:val="20"/>
        </w:rPr>
        <w:t>Cette protection sociale vient compléter les dispositifs de prévention des risques au travail, de gestion pr</w:t>
      </w:r>
      <w:r>
        <w:rPr>
          <w:rFonts w:ascii="Arial" w:hAnsi="Arial" w:cs="Arial"/>
          <w:sz w:val="20"/>
          <w:szCs w:val="20"/>
        </w:rPr>
        <w:t xml:space="preserve">évisionnelle des emplois et des </w:t>
      </w:r>
      <w:r w:rsidRPr="00386DD0">
        <w:rPr>
          <w:rFonts w:ascii="Arial" w:hAnsi="Arial" w:cs="Arial"/>
          <w:sz w:val="20"/>
          <w:szCs w:val="20"/>
        </w:rPr>
        <w:t xml:space="preserve">compétences existants et concourt à limiter la progression de l’absentéisme. </w:t>
      </w:r>
    </w:p>
    <w:p w:rsidR="00624F40" w:rsidRPr="00386DD0" w:rsidRDefault="00624F40" w:rsidP="008F72A8">
      <w:pPr>
        <w:spacing w:before="120"/>
        <w:jc w:val="both"/>
        <w:rPr>
          <w:rFonts w:ascii="Arial" w:hAnsi="Arial" w:cs="Arial"/>
          <w:sz w:val="20"/>
          <w:szCs w:val="20"/>
        </w:rPr>
      </w:pPr>
      <w:r w:rsidRPr="00386DD0">
        <w:rPr>
          <w:rFonts w:ascii="Arial" w:hAnsi="Arial" w:cs="Arial"/>
          <w:sz w:val="20"/>
          <w:szCs w:val="20"/>
        </w:rPr>
        <w:t xml:space="preserve">Selon un baromètre IFOP pour la Mutuelle Nationale Territoriale (MNT) de décembre 2020, la couverture des agents est la suivante : </w:t>
      </w:r>
    </w:p>
    <w:p w:rsidR="00624F40" w:rsidRPr="00386DD0" w:rsidRDefault="00624F40" w:rsidP="00DE0CBC">
      <w:pPr>
        <w:spacing w:before="60"/>
        <w:ind w:left="709" w:hanging="142"/>
        <w:jc w:val="both"/>
        <w:rPr>
          <w:rFonts w:ascii="Arial" w:hAnsi="Arial" w:cs="Arial"/>
          <w:sz w:val="20"/>
          <w:szCs w:val="20"/>
        </w:rPr>
      </w:pPr>
      <w:r w:rsidRPr="00386DD0">
        <w:rPr>
          <w:rFonts w:ascii="Segoe UI Symbol" w:hAnsi="Segoe UI Symbol" w:cs="Segoe UI Symbol"/>
          <w:sz w:val="20"/>
          <w:szCs w:val="20"/>
        </w:rPr>
        <w:t>✓</w:t>
      </w:r>
      <w:r w:rsidRPr="00386DD0">
        <w:rPr>
          <w:rFonts w:ascii="Arial" w:hAnsi="Arial" w:cs="Arial"/>
          <w:sz w:val="20"/>
          <w:szCs w:val="20"/>
        </w:rPr>
        <w:t xml:space="preserve"> 2/3 des collectivités interrogées participent financièrement à la complémentaire santé : 62% ont choisi la labellisation et 38% la convention de participation. Le montant de la participation s’élève en moyenne à 18,90 euros par mois et par agent (contre 17,10 euros en 2017). </w:t>
      </w:r>
    </w:p>
    <w:p w:rsidR="00624F40" w:rsidRPr="00386DD0" w:rsidRDefault="00624F40" w:rsidP="00DE0CBC">
      <w:pPr>
        <w:spacing w:before="60"/>
        <w:ind w:left="709" w:hanging="142"/>
        <w:jc w:val="both"/>
        <w:rPr>
          <w:rFonts w:ascii="Arial" w:hAnsi="Arial" w:cs="Arial"/>
          <w:sz w:val="20"/>
          <w:szCs w:val="20"/>
        </w:rPr>
      </w:pPr>
      <w:r w:rsidRPr="00386DD0">
        <w:rPr>
          <w:rFonts w:ascii="Segoe UI Symbol" w:hAnsi="Segoe UI Symbol" w:cs="Segoe UI Symbol"/>
          <w:sz w:val="20"/>
          <w:szCs w:val="20"/>
        </w:rPr>
        <w:t>✓</w:t>
      </w:r>
      <w:r w:rsidRPr="00386DD0">
        <w:rPr>
          <w:rFonts w:ascii="Arial" w:hAnsi="Arial" w:cs="Arial"/>
          <w:sz w:val="20"/>
          <w:szCs w:val="20"/>
        </w:rPr>
        <w:t xml:space="preserve"> Plus des 3/4 des collectivités interrogées participent financièrement à la complémentaire prévoyance : 62% ont choisi la convention de participation et 37% la labellisation. Le montant de la participation s’élève en moyenne à 12,20 euros par mois et par agent (contre 11,40 euros en 2017). </w:t>
      </w:r>
    </w:p>
    <w:p w:rsidR="00624F40" w:rsidRPr="00386DD0" w:rsidRDefault="00624F40" w:rsidP="00DE0CBC">
      <w:pPr>
        <w:spacing w:before="60"/>
        <w:jc w:val="both"/>
        <w:rPr>
          <w:rFonts w:ascii="Arial" w:hAnsi="Arial" w:cs="Arial"/>
          <w:sz w:val="20"/>
          <w:szCs w:val="20"/>
        </w:rPr>
      </w:pPr>
      <w:r w:rsidRPr="00386DD0">
        <w:rPr>
          <w:rFonts w:ascii="Arial" w:hAnsi="Arial" w:cs="Arial"/>
          <w:sz w:val="20"/>
          <w:szCs w:val="20"/>
        </w:rPr>
        <w:t xml:space="preserve">Les employeurs publics locaux qui déclarent participer financièrement à la protection sociale complémentaire de leurs agents en santé et/ou en prévoyance mettent en avant que cette participation financière améliore les conditions de travail et la santé des agents, l’attractivité de la collectivité en tant qu’employeur, le dialogue social et contribue à la motivation des agents. Cette participation financière doit s’apprécier comme un véritable investissement dans l’humain et non sous un angle purement budgétaire. </w:t>
      </w:r>
    </w:p>
    <w:p w:rsidR="00624F40" w:rsidRPr="00386DD0" w:rsidRDefault="00624F40" w:rsidP="008F72A8">
      <w:pPr>
        <w:spacing w:before="120" w:after="120"/>
        <w:jc w:val="both"/>
        <w:rPr>
          <w:rFonts w:ascii="Arial" w:hAnsi="Arial" w:cs="Arial"/>
          <w:sz w:val="20"/>
          <w:szCs w:val="20"/>
        </w:rPr>
      </w:pPr>
      <w:r w:rsidRPr="00386DD0">
        <w:rPr>
          <w:rFonts w:ascii="Arial" w:hAnsi="Arial" w:cs="Arial"/>
          <w:sz w:val="20"/>
          <w:szCs w:val="20"/>
        </w:rPr>
        <w:t>Pour rappel, la « complémentaire santé » concerne le remboursement complémentaire des frais occasionnés par une maladie, une maternité ou un accident, afin de diminuer le reste à charge de l’assuré.</w:t>
      </w:r>
    </w:p>
    <w:tbl>
      <w:tblPr>
        <w:tblStyle w:val="Grilledutableau"/>
        <w:tblW w:w="0" w:type="auto"/>
        <w:tblLook w:val="04A0" w:firstRow="1" w:lastRow="0" w:firstColumn="1" w:lastColumn="0" w:noHBand="0" w:noVBand="1"/>
      </w:tblPr>
      <w:tblGrid>
        <w:gridCol w:w="4530"/>
        <w:gridCol w:w="4530"/>
      </w:tblGrid>
      <w:tr w:rsidR="00624F40" w:rsidRPr="00386DD0" w:rsidTr="00B07188">
        <w:tc>
          <w:tcPr>
            <w:tcW w:w="4531" w:type="dxa"/>
          </w:tcPr>
          <w:p w:rsidR="00624F40" w:rsidRPr="00386DD0" w:rsidRDefault="00624F40" w:rsidP="00B07188">
            <w:pPr>
              <w:jc w:val="both"/>
              <w:rPr>
                <w:rFonts w:ascii="Arial" w:hAnsi="Arial" w:cs="Arial"/>
                <w:sz w:val="20"/>
                <w:szCs w:val="20"/>
              </w:rPr>
            </w:pPr>
          </w:p>
        </w:tc>
        <w:tc>
          <w:tcPr>
            <w:tcW w:w="4531" w:type="dxa"/>
          </w:tcPr>
          <w:p w:rsidR="00624F40" w:rsidRPr="00386DD0" w:rsidRDefault="00624F40" w:rsidP="00B07188">
            <w:pPr>
              <w:jc w:val="center"/>
              <w:rPr>
                <w:rFonts w:ascii="Arial" w:hAnsi="Arial" w:cs="Arial"/>
                <w:b/>
                <w:sz w:val="20"/>
                <w:szCs w:val="20"/>
              </w:rPr>
            </w:pPr>
            <w:r w:rsidRPr="00386DD0">
              <w:rPr>
                <w:rFonts w:ascii="Arial" w:hAnsi="Arial" w:cs="Arial"/>
                <w:b/>
                <w:sz w:val="20"/>
                <w:szCs w:val="20"/>
              </w:rPr>
              <w:t>Taux de remboursement moyen de la Sécurité Sociale</w:t>
            </w:r>
          </w:p>
        </w:tc>
      </w:tr>
      <w:tr w:rsidR="00624F40" w:rsidRPr="00386DD0" w:rsidTr="00B07188">
        <w:tc>
          <w:tcPr>
            <w:tcW w:w="4531" w:type="dxa"/>
          </w:tcPr>
          <w:p w:rsidR="00624F40" w:rsidRPr="00386DD0" w:rsidRDefault="00624F40" w:rsidP="00B07188">
            <w:pPr>
              <w:jc w:val="both"/>
              <w:rPr>
                <w:rFonts w:ascii="Arial" w:hAnsi="Arial" w:cs="Arial"/>
                <w:sz w:val="20"/>
                <w:szCs w:val="20"/>
              </w:rPr>
            </w:pPr>
            <w:r w:rsidRPr="00386DD0">
              <w:rPr>
                <w:rFonts w:ascii="Arial" w:hAnsi="Arial" w:cs="Arial"/>
                <w:sz w:val="20"/>
                <w:szCs w:val="20"/>
              </w:rPr>
              <w:t>Honoraires des médecins et spécialistes</w:t>
            </w:r>
          </w:p>
        </w:tc>
        <w:tc>
          <w:tcPr>
            <w:tcW w:w="4531" w:type="dxa"/>
          </w:tcPr>
          <w:p w:rsidR="00624F40" w:rsidRPr="00386DD0" w:rsidRDefault="00624F40" w:rsidP="00B07188">
            <w:pPr>
              <w:jc w:val="center"/>
              <w:rPr>
                <w:rFonts w:ascii="Arial" w:hAnsi="Arial" w:cs="Arial"/>
                <w:sz w:val="20"/>
                <w:szCs w:val="20"/>
              </w:rPr>
            </w:pPr>
            <w:r w:rsidRPr="00386DD0">
              <w:rPr>
                <w:rFonts w:ascii="Arial" w:hAnsi="Arial" w:cs="Arial"/>
                <w:sz w:val="20"/>
                <w:szCs w:val="20"/>
              </w:rPr>
              <w:t>70%</w:t>
            </w:r>
          </w:p>
        </w:tc>
      </w:tr>
      <w:tr w:rsidR="00624F40" w:rsidRPr="00386DD0" w:rsidTr="00B07188">
        <w:tc>
          <w:tcPr>
            <w:tcW w:w="4531" w:type="dxa"/>
          </w:tcPr>
          <w:p w:rsidR="00624F40" w:rsidRPr="00386DD0" w:rsidRDefault="00624F40" w:rsidP="00B07188">
            <w:pPr>
              <w:jc w:val="both"/>
              <w:rPr>
                <w:rFonts w:ascii="Arial" w:hAnsi="Arial" w:cs="Arial"/>
                <w:sz w:val="20"/>
                <w:szCs w:val="20"/>
              </w:rPr>
            </w:pPr>
            <w:r w:rsidRPr="00386DD0">
              <w:rPr>
                <w:rFonts w:ascii="Arial" w:hAnsi="Arial" w:cs="Arial"/>
                <w:sz w:val="20"/>
                <w:szCs w:val="20"/>
              </w:rPr>
              <w:t>Honoraires des auxiliaires médicaux (infirmière, kiné, orthophoniste…)</w:t>
            </w:r>
          </w:p>
        </w:tc>
        <w:tc>
          <w:tcPr>
            <w:tcW w:w="4531" w:type="dxa"/>
            <w:vAlign w:val="center"/>
          </w:tcPr>
          <w:p w:rsidR="00624F40" w:rsidRPr="00386DD0" w:rsidRDefault="00624F40" w:rsidP="00B07188">
            <w:pPr>
              <w:jc w:val="center"/>
              <w:rPr>
                <w:rFonts w:ascii="Arial" w:hAnsi="Arial" w:cs="Arial"/>
                <w:sz w:val="20"/>
                <w:szCs w:val="20"/>
              </w:rPr>
            </w:pPr>
            <w:r w:rsidRPr="00386DD0">
              <w:rPr>
                <w:rFonts w:ascii="Arial" w:hAnsi="Arial" w:cs="Arial"/>
                <w:sz w:val="20"/>
                <w:szCs w:val="20"/>
              </w:rPr>
              <w:t>60%</w:t>
            </w:r>
          </w:p>
        </w:tc>
      </w:tr>
      <w:tr w:rsidR="00624F40" w:rsidRPr="00386DD0" w:rsidTr="00B07188">
        <w:tc>
          <w:tcPr>
            <w:tcW w:w="4531" w:type="dxa"/>
          </w:tcPr>
          <w:p w:rsidR="00624F40" w:rsidRPr="00386DD0" w:rsidRDefault="00624F40" w:rsidP="00B07188">
            <w:pPr>
              <w:jc w:val="both"/>
              <w:rPr>
                <w:rFonts w:ascii="Arial" w:hAnsi="Arial" w:cs="Arial"/>
                <w:sz w:val="20"/>
                <w:szCs w:val="20"/>
              </w:rPr>
            </w:pPr>
            <w:r w:rsidRPr="00386DD0">
              <w:rPr>
                <w:rFonts w:ascii="Arial" w:hAnsi="Arial" w:cs="Arial"/>
                <w:sz w:val="20"/>
                <w:szCs w:val="20"/>
              </w:rPr>
              <w:t>Médicaments</w:t>
            </w:r>
          </w:p>
        </w:tc>
        <w:tc>
          <w:tcPr>
            <w:tcW w:w="4531" w:type="dxa"/>
          </w:tcPr>
          <w:p w:rsidR="00624F40" w:rsidRPr="00386DD0" w:rsidRDefault="00624F40" w:rsidP="00B07188">
            <w:pPr>
              <w:jc w:val="center"/>
              <w:rPr>
                <w:rFonts w:ascii="Arial" w:hAnsi="Arial" w:cs="Arial"/>
                <w:sz w:val="20"/>
                <w:szCs w:val="20"/>
              </w:rPr>
            </w:pPr>
            <w:r w:rsidRPr="00386DD0">
              <w:rPr>
                <w:rFonts w:ascii="Arial" w:hAnsi="Arial" w:cs="Arial"/>
                <w:sz w:val="20"/>
                <w:szCs w:val="20"/>
              </w:rPr>
              <w:t>30% à 100%</w:t>
            </w:r>
          </w:p>
        </w:tc>
      </w:tr>
      <w:tr w:rsidR="00624F40" w:rsidRPr="00386DD0" w:rsidTr="00B07188">
        <w:tc>
          <w:tcPr>
            <w:tcW w:w="4531" w:type="dxa"/>
          </w:tcPr>
          <w:p w:rsidR="00624F40" w:rsidRPr="00386DD0" w:rsidRDefault="00624F40" w:rsidP="00B07188">
            <w:pPr>
              <w:jc w:val="both"/>
              <w:rPr>
                <w:rFonts w:ascii="Arial" w:hAnsi="Arial" w:cs="Arial"/>
                <w:sz w:val="20"/>
                <w:szCs w:val="20"/>
              </w:rPr>
            </w:pPr>
            <w:r w:rsidRPr="00386DD0">
              <w:rPr>
                <w:rFonts w:ascii="Arial" w:hAnsi="Arial" w:cs="Arial"/>
                <w:sz w:val="20"/>
                <w:szCs w:val="20"/>
              </w:rPr>
              <w:t>Optique, appareillage</w:t>
            </w:r>
          </w:p>
        </w:tc>
        <w:tc>
          <w:tcPr>
            <w:tcW w:w="4531" w:type="dxa"/>
          </w:tcPr>
          <w:p w:rsidR="00624F40" w:rsidRPr="00386DD0" w:rsidRDefault="00624F40" w:rsidP="00B07188">
            <w:pPr>
              <w:jc w:val="center"/>
              <w:rPr>
                <w:rFonts w:ascii="Arial" w:hAnsi="Arial" w:cs="Arial"/>
                <w:sz w:val="20"/>
                <w:szCs w:val="20"/>
              </w:rPr>
            </w:pPr>
            <w:r w:rsidRPr="00386DD0">
              <w:rPr>
                <w:rFonts w:ascii="Arial" w:hAnsi="Arial" w:cs="Arial"/>
                <w:sz w:val="20"/>
                <w:szCs w:val="20"/>
              </w:rPr>
              <w:t>60%</w:t>
            </w:r>
          </w:p>
        </w:tc>
      </w:tr>
      <w:tr w:rsidR="00624F40" w:rsidRPr="00386DD0" w:rsidTr="00B07188">
        <w:tc>
          <w:tcPr>
            <w:tcW w:w="4531" w:type="dxa"/>
          </w:tcPr>
          <w:p w:rsidR="00624F40" w:rsidRPr="00386DD0" w:rsidRDefault="00624F40" w:rsidP="00B07188">
            <w:pPr>
              <w:jc w:val="both"/>
              <w:rPr>
                <w:rFonts w:ascii="Arial" w:hAnsi="Arial" w:cs="Arial"/>
                <w:sz w:val="20"/>
                <w:szCs w:val="20"/>
              </w:rPr>
            </w:pPr>
            <w:r w:rsidRPr="00386DD0">
              <w:rPr>
                <w:rFonts w:ascii="Arial" w:hAnsi="Arial" w:cs="Arial"/>
                <w:sz w:val="20"/>
                <w:szCs w:val="20"/>
              </w:rPr>
              <w:t>Hospitalisation</w:t>
            </w:r>
          </w:p>
        </w:tc>
        <w:tc>
          <w:tcPr>
            <w:tcW w:w="4531" w:type="dxa"/>
          </w:tcPr>
          <w:p w:rsidR="00624F40" w:rsidRPr="00386DD0" w:rsidRDefault="00624F40" w:rsidP="00B07188">
            <w:pPr>
              <w:jc w:val="center"/>
              <w:rPr>
                <w:rFonts w:ascii="Arial" w:hAnsi="Arial" w:cs="Arial"/>
                <w:sz w:val="20"/>
                <w:szCs w:val="20"/>
              </w:rPr>
            </w:pPr>
            <w:r w:rsidRPr="00386DD0">
              <w:rPr>
                <w:rFonts w:ascii="Arial" w:hAnsi="Arial" w:cs="Arial"/>
                <w:sz w:val="20"/>
                <w:szCs w:val="20"/>
              </w:rPr>
              <w:t>80%</w:t>
            </w:r>
          </w:p>
        </w:tc>
      </w:tr>
    </w:tbl>
    <w:p w:rsidR="00624F40" w:rsidRPr="00FA5D44" w:rsidRDefault="00624F40" w:rsidP="00624F40">
      <w:pPr>
        <w:ind w:firstLine="708"/>
        <w:jc w:val="both"/>
        <w:rPr>
          <w:rFonts w:ascii="Arial" w:hAnsi="Arial" w:cs="Arial"/>
          <w:sz w:val="12"/>
          <w:szCs w:val="12"/>
        </w:rPr>
      </w:pPr>
    </w:p>
    <w:p w:rsidR="00624F40" w:rsidRPr="00386DD0" w:rsidRDefault="00624F40" w:rsidP="00624F40">
      <w:pPr>
        <w:jc w:val="both"/>
        <w:rPr>
          <w:rFonts w:ascii="Arial" w:hAnsi="Arial" w:cs="Arial"/>
          <w:sz w:val="20"/>
          <w:szCs w:val="20"/>
        </w:rPr>
      </w:pPr>
      <w:r w:rsidRPr="00386DD0">
        <w:rPr>
          <w:rFonts w:ascii="Arial" w:hAnsi="Arial" w:cs="Arial"/>
          <w:sz w:val="20"/>
          <w:szCs w:val="20"/>
        </w:rPr>
        <w:t xml:space="preserve">Dans le cadre de la conclusion d’une convention de participation « santé », le contrat collectif devra être proposé aux agents actifs mais aussi aux retraités (solidarité intergénérationnelle) et couvrir les garanties minimales suivantes : </w:t>
      </w:r>
    </w:p>
    <w:p w:rsidR="00624F40" w:rsidRDefault="00624F40" w:rsidP="00DE0CBC">
      <w:pPr>
        <w:pStyle w:val="Paragraphedeliste"/>
        <w:numPr>
          <w:ilvl w:val="0"/>
          <w:numId w:val="12"/>
        </w:numPr>
        <w:spacing w:before="120" w:after="60"/>
        <w:jc w:val="both"/>
        <w:rPr>
          <w:rFonts w:ascii="Arial" w:hAnsi="Arial" w:cs="Arial"/>
          <w:sz w:val="20"/>
          <w:szCs w:val="20"/>
        </w:rPr>
      </w:pPr>
      <w:r w:rsidRPr="00A53500">
        <w:rPr>
          <w:rFonts w:ascii="Arial" w:hAnsi="Arial" w:cs="Arial"/>
          <w:sz w:val="20"/>
          <w:szCs w:val="20"/>
        </w:rPr>
        <w:t xml:space="preserve">La participation de l'assuré aux tarifs servant de base au calcul des prestations des organismes de sécurité sociale, </w:t>
      </w:r>
    </w:p>
    <w:p w:rsidR="00DE0CBC" w:rsidRPr="00DE0CBC" w:rsidRDefault="00DE0CBC" w:rsidP="00DE0CBC">
      <w:pPr>
        <w:pStyle w:val="Paragraphedeliste"/>
        <w:spacing w:before="60" w:after="60"/>
        <w:jc w:val="both"/>
        <w:rPr>
          <w:rFonts w:ascii="Arial" w:hAnsi="Arial" w:cs="Arial"/>
          <w:sz w:val="6"/>
          <w:szCs w:val="6"/>
        </w:rPr>
      </w:pPr>
    </w:p>
    <w:p w:rsidR="00624F40" w:rsidRDefault="00624F40" w:rsidP="00DE0CBC">
      <w:pPr>
        <w:pStyle w:val="Paragraphedeliste"/>
        <w:numPr>
          <w:ilvl w:val="0"/>
          <w:numId w:val="12"/>
        </w:numPr>
        <w:spacing w:before="60" w:after="60"/>
        <w:jc w:val="both"/>
        <w:rPr>
          <w:rFonts w:ascii="Arial" w:hAnsi="Arial" w:cs="Arial"/>
          <w:sz w:val="20"/>
          <w:szCs w:val="20"/>
        </w:rPr>
      </w:pPr>
      <w:r w:rsidRPr="00A53500">
        <w:rPr>
          <w:rFonts w:ascii="Arial" w:hAnsi="Arial" w:cs="Arial"/>
          <w:sz w:val="20"/>
          <w:szCs w:val="20"/>
        </w:rPr>
        <w:t xml:space="preserve">Le forfait journalier en cas d’hospitalisation, </w:t>
      </w:r>
    </w:p>
    <w:p w:rsidR="00624F40" w:rsidRPr="00DE0CBC" w:rsidRDefault="00624F40" w:rsidP="00624F40">
      <w:pPr>
        <w:pStyle w:val="Paragraphedeliste"/>
        <w:jc w:val="both"/>
        <w:rPr>
          <w:rFonts w:ascii="Arial" w:hAnsi="Arial" w:cs="Arial"/>
          <w:sz w:val="6"/>
          <w:szCs w:val="6"/>
        </w:rPr>
      </w:pPr>
    </w:p>
    <w:p w:rsidR="00624F40" w:rsidRPr="00A53500" w:rsidRDefault="00624F40" w:rsidP="00624F40">
      <w:pPr>
        <w:pStyle w:val="Paragraphedeliste"/>
        <w:numPr>
          <w:ilvl w:val="0"/>
          <w:numId w:val="12"/>
        </w:numPr>
        <w:spacing w:after="160"/>
        <w:jc w:val="both"/>
        <w:rPr>
          <w:rFonts w:ascii="Arial" w:hAnsi="Arial" w:cs="Arial"/>
          <w:sz w:val="20"/>
          <w:szCs w:val="20"/>
        </w:rPr>
      </w:pPr>
      <w:r w:rsidRPr="00A53500">
        <w:rPr>
          <w:rFonts w:ascii="Arial" w:hAnsi="Arial" w:cs="Arial"/>
          <w:sz w:val="20"/>
          <w:szCs w:val="20"/>
        </w:rPr>
        <w:t xml:space="preserve">Les frais pour les soins dentaires prothétiques ou d'orthopédie dentofaciale et pour certains dispositifs médicaux à usage individuel admis au remboursement. </w:t>
      </w:r>
    </w:p>
    <w:p w:rsidR="00624F40" w:rsidRPr="00386DD0" w:rsidRDefault="00624F40" w:rsidP="00624F40">
      <w:pPr>
        <w:jc w:val="both"/>
        <w:rPr>
          <w:rFonts w:ascii="Arial" w:hAnsi="Arial" w:cs="Arial"/>
          <w:sz w:val="20"/>
          <w:szCs w:val="20"/>
        </w:rPr>
      </w:pPr>
      <w:r w:rsidRPr="00386DD0">
        <w:rPr>
          <w:rFonts w:ascii="Arial" w:hAnsi="Arial" w:cs="Arial"/>
          <w:sz w:val="20"/>
          <w:szCs w:val="20"/>
        </w:rPr>
        <w:lastRenderedPageBreak/>
        <w:t>Un décret déterminera le niveau de prise en charge de ces dépenses ainsi que la liste des dispositifs médicaux pour soins dentaires et optiques entrant dans le champ de cette couverture.</w:t>
      </w:r>
    </w:p>
    <w:p w:rsidR="00624F40" w:rsidRPr="00386DD0" w:rsidRDefault="00624F40" w:rsidP="008F72A8">
      <w:pPr>
        <w:spacing w:before="120"/>
        <w:jc w:val="both"/>
        <w:rPr>
          <w:rFonts w:ascii="Arial" w:hAnsi="Arial" w:cs="Arial"/>
          <w:sz w:val="20"/>
          <w:szCs w:val="20"/>
        </w:rPr>
      </w:pPr>
      <w:r w:rsidRPr="00386DD0">
        <w:rPr>
          <w:rFonts w:ascii="Arial" w:hAnsi="Arial" w:cs="Arial"/>
          <w:sz w:val="20"/>
          <w:szCs w:val="20"/>
        </w:rPr>
        <w:t xml:space="preserve">S’agissant de la « prévoyance » ou « garantie maintien de salaire », celle-ci permet aux agents de se couvrir contre les aléas de la vie (maladie, invalidité, accident non professionnel, …) en leur assurant un maintien de rémunération et/ou de leur régime indemnitaire en cas d’arrêt de travail prolongé. Il est rappelé qu’au-delà de trois mois d’arrêt pour maladie ordinaire, l’agent concerné perd la moitié de son salaire et, au-delà de douze mois, la totalité. </w:t>
      </w:r>
    </w:p>
    <w:p w:rsidR="00624F40" w:rsidRPr="00A53500" w:rsidRDefault="00624F40" w:rsidP="008F72A8">
      <w:pPr>
        <w:spacing w:before="120"/>
        <w:jc w:val="both"/>
        <w:rPr>
          <w:rFonts w:ascii="Arial" w:hAnsi="Arial" w:cs="Arial"/>
          <w:sz w:val="20"/>
          <w:szCs w:val="20"/>
        </w:rPr>
      </w:pPr>
      <w:r w:rsidRPr="00A53500">
        <w:rPr>
          <w:rFonts w:ascii="Arial" w:hAnsi="Arial" w:cs="Arial"/>
          <w:sz w:val="20"/>
          <w:szCs w:val="20"/>
        </w:rPr>
        <w:t xml:space="preserve">La couverture des risques en matière de « prévoyance » concerne : </w:t>
      </w:r>
    </w:p>
    <w:p w:rsidR="00624F40" w:rsidRDefault="00624F40" w:rsidP="008F72A8">
      <w:pPr>
        <w:pStyle w:val="Paragraphedeliste"/>
        <w:numPr>
          <w:ilvl w:val="0"/>
          <w:numId w:val="12"/>
        </w:numPr>
        <w:spacing w:before="120" w:after="160"/>
        <w:jc w:val="both"/>
        <w:rPr>
          <w:rFonts w:ascii="Arial" w:hAnsi="Arial" w:cs="Arial"/>
          <w:sz w:val="20"/>
          <w:szCs w:val="20"/>
        </w:rPr>
      </w:pPr>
      <w:r w:rsidRPr="00A53500">
        <w:rPr>
          <w:rFonts w:ascii="Arial" w:hAnsi="Arial" w:cs="Arial"/>
          <w:sz w:val="20"/>
          <w:szCs w:val="20"/>
        </w:rPr>
        <w:t xml:space="preserve">L’incapacité de travail : maintien de rémunération pendant la période de demi-traitement pour maladie, </w:t>
      </w:r>
    </w:p>
    <w:p w:rsidR="00624F40" w:rsidRPr="00DE0CBC" w:rsidRDefault="00624F40" w:rsidP="00624F40">
      <w:pPr>
        <w:pStyle w:val="Paragraphedeliste"/>
        <w:jc w:val="both"/>
        <w:rPr>
          <w:rFonts w:ascii="Arial" w:hAnsi="Arial" w:cs="Arial"/>
          <w:sz w:val="6"/>
          <w:szCs w:val="6"/>
        </w:rPr>
      </w:pPr>
    </w:p>
    <w:p w:rsidR="00624F40" w:rsidRDefault="00624F40" w:rsidP="00624F40">
      <w:pPr>
        <w:pStyle w:val="Paragraphedeliste"/>
        <w:numPr>
          <w:ilvl w:val="0"/>
          <w:numId w:val="12"/>
        </w:numPr>
        <w:spacing w:after="160"/>
        <w:jc w:val="both"/>
        <w:rPr>
          <w:rFonts w:ascii="Arial" w:hAnsi="Arial" w:cs="Arial"/>
          <w:sz w:val="20"/>
          <w:szCs w:val="20"/>
        </w:rPr>
      </w:pPr>
      <w:r w:rsidRPr="00A53500">
        <w:rPr>
          <w:rFonts w:ascii="Arial" w:hAnsi="Arial" w:cs="Arial"/>
          <w:sz w:val="20"/>
          <w:szCs w:val="20"/>
        </w:rPr>
        <w:t>L’invalidité : maintien de rémunération pendant la période allant de la reconnaissance d’invalidité jusqu’à l’âge légal de départ à la retraite,</w:t>
      </w:r>
    </w:p>
    <w:p w:rsidR="00624F40" w:rsidRPr="00DE0CBC" w:rsidRDefault="00624F40" w:rsidP="00624F40">
      <w:pPr>
        <w:pStyle w:val="Paragraphedeliste"/>
        <w:jc w:val="both"/>
        <w:rPr>
          <w:rFonts w:ascii="Arial" w:hAnsi="Arial" w:cs="Arial"/>
          <w:sz w:val="6"/>
          <w:szCs w:val="6"/>
        </w:rPr>
      </w:pPr>
      <w:r w:rsidRPr="00A53500">
        <w:rPr>
          <w:rFonts w:ascii="Arial" w:hAnsi="Arial" w:cs="Arial"/>
          <w:sz w:val="20"/>
          <w:szCs w:val="20"/>
        </w:rPr>
        <w:t xml:space="preserve"> </w:t>
      </w:r>
    </w:p>
    <w:p w:rsidR="00624F40" w:rsidRDefault="00624F40" w:rsidP="00624F40">
      <w:pPr>
        <w:pStyle w:val="Paragraphedeliste"/>
        <w:numPr>
          <w:ilvl w:val="0"/>
          <w:numId w:val="12"/>
        </w:numPr>
        <w:spacing w:after="160"/>
        <w:jc w:val="both"/>
        <w:rPr>
          <w:rFonts w:ascii="Arial" w:hAnsi="Arial" w:cs="Arial"/>
          <w:sz w:val="20"/>
          <w:szCs w:val="20"/>
        </w:rPr>
      </w:pPr>
      <w:r w:rsidRPr="00A53500">
        <w:rPr>
          <w:rFonts w:ascii="Arial" w:hAnsi="Arial" w:cs="Arial"/>
          <w:sz w:val="20"/>
          <w:szCs w:val="20"/>
        </w:rPr>
        <w:t xml:space="preserve">L’inaptitude : poursuite de l’indemnisation après l’invalidité, par un complément de retraite sous forme de capital afin de compenser la perte de retraite due à l’invalidité, à partir de l’âge légal de départ à la retraite, </w:t>
      </w:r>
    </w:p>
    <w:p w:rsidR="00624F40" w:rsidRPr="00DE0CBC" w:rsidRDefault="00624F40" w:rsidP="00624F40">
      <w:pPr>
        <w:pStyle w:val="Paragraphedeliste"/>
        <w:jc w:val="both"/>
        <w:rPr>
          <w:rFonts w:ascii="Arial" w:hAnsi="Arial" w:cs="Arial"/>
          <w:sz w:val="6"/>
          <w:szCs w:val="6"/>
        </w:rPr>
      </w:pPr>
    </w:p>
    <w:p w:rsidR="00624F40" w:rsidRPr="00A53500" w:rsidRDefault="00624F40" w:rsidP="00624F40">
      <w:pPr>
        <w:pStyle w:val="Paragraphedeliste"/>
        <w:numPr>
          <w:ilvl w:val="0"/>
          <w:numId w:val="12"/>
        </w:numPr>
        <w:spacing w:after="160"/>
        <w:jc w:val="both"/>
        <w:rPr>
          <w:rFonts w:ascii="Arial" w:hAnsi="Arial" w:cs="Arial"/>
          <w:sz w:val="20"/>
          <w:szCs w:val="20"/>
        </w:rPr>
      </w:pPr>
      <w:r w:rsidRPr="00A53500">
        <w:rPr>
          <w:rFonts w:ascii="Arial" w:hAnsi="Arial" w:cs="Arial"/>
          <w:sz w:val="20"/>
          <w:szCs w:val="20"/>
        </w:rPr>
        <w:t xml:space="preserve">Le décès : indemnisation correspondant à 100% de la rémunération indiciaire annuelle brute en cas de décès en activité. </w:t>
      </w:r>
    </w:p>
    <w:p w:rsidR="00624F40" w:rsidRDefault="00624F40" w:rsidP="00624F40">
      <w:pPr>
        <w:jc w:val="both"/>
        <w:rPr>
          <w:rFonts w:ascii="Arial" w:hAnsi="Arial" w:cs="Arial"/>
          <w:sz w:val="20"/>
          <w:szCs w:val="20"/>
        </w:rPr>
      </w:pPr>
      <w:r w:rsidRPr="00386DD0">
        <w:rPr>
          <w:rFonts w:ascii="Arial" w:hAnsi="Arial" w:cs="Arial"/>
          <w:sz w:val="20"/>
          <w:szCs w:val="20"/>
        </w:rPr>
        <w:t xml:space="preserve">Dans le cadre de la conclusion d’une convention de participation, il est possible de décider des garanties minimales proposées aux agents, de l’assiette de cotisations incluant le traitement indiciaire, la nouvelle bonification indiciaire et/ou le régime indemnitaire et des prestations versées (maintien de rémunération pouvant aller de 80% à 95% du traitement net). </w:t>
      </w:r>
    </w:p>
    <w:p w:rsidR="00624F40" w:rsidRPr="00386DD0" w:rsidRDefault="00624F40" w:rsidP="00F84534">
      <w:pPr>
        <w:spacing w:before="120"/>
        <w:jc w:val="both"/>
        <w:rPr>
          <w:rFonts w:ascii="Arial" w:hAnsi="Arial" w:cs="Arial"/>
          <w:b/>
          <w:sz w:val="20"/>
          <w:szCs w:val="20"/>
          <w:u w:val="single"/>
        </w:rPr>
      </w:pPr>
      <w:r w:rsidRPr="00386DD0">
        <w:rPr>
          <w:rFonts w:ascii="Arial" w:hAnsi="Arial" w:cs="Arial"/>
          <w:b/>
          <w:sz w:val="20"/>
          <w:szCs w:val="20"/>
          <w:u w:val="single"/>
        </w:rPr>
        <w:t xml:space="preserve">L’accompagnement du Centre de Gestion : </w:t>
      </w:r>
    </w:p>
    <w:p w:rsidR="00624F40" w:rsidRPr="00386DD0" w:rsidRDefault="00624F40" w:rsidP="008F72A8">
      <w:pPr>
        <w:spacing w:before="120"/>
        <w:jc w:val="both"/>
        <w:rPr>
          <w:rFonts w:ascii="Arial" w:hAnsi="Arial" w:cs="Arial"/>
          <w:sz w:val="20"/>
          <w:szCs w:val="20"/>
        </w:rPr>
      </w:pPr>
      <w:r w:rsidRPr="00386DD0">
        <w:rPr>
          <w:rFonts w:ascii="Arial" w:hAnsi="Arial" w:cs="Arial"/>
          <w:sz w:val="20"/>
          <w:szCs w:val="20"/>
        </w:rPr>
        <w:t>L’ordonnance du 17 février 2021 prévoit que les Centres de Gestion ont pour nouvelle mission obligatoire, à compter du 1</w:t>
      </w:r>
      <w:r w:rsidRPr="00A53500">
        <w:rPr>
          <w:rFonts w:ascii="Arial" w:hAnsi="Arial" w:cs="Arial"/>
          <w:sz w:val="20"/>
          <w:szCs w:val="20"/>
          <w:vertAlign w:val="superscript"/>
        </w:rPr>
        <w:t>er</w:t>
      </w:r>
      <w:r w:rsidRPr="00386DD0">
        <w:rPr>
          <w:rFonts w:ascii="Arial" w:hAnsi="Arial" w:cs="Arial"/>
          <w:sz w:val="20"/>
          <w:szCs w:val="20"/>
        </w:rPr>
        <w:t xml:space="preserve"> janvier 2022, la conclusion de conventions de participation en « santé » et « prévoyance » à l’échelle départementale ou supra-départementale, en association notamment avec d’autres Centres de Gestion. </w:t>
      </w:r>
    </w:p>
    <w:p w:rsidR="00624F40" w:rsidRPr="00386DD0" w:rsidRDefault="00624F40" w:rsidP="008F72A8">
      <w:pPr>
        <w:spacing w:before="120"/>
        <w:jc w:val="both"/>
        <w:rPr>
          <w:rFonts w:ascii="Arial" w:hAnsi="Arial" w:cs="Arial"/>
          <w:sz w:val="20"/>
          <w:szCs w:val="20"/>
        </w:rPr>
      </w:pPr>
      <w:r w:rsidRPr="00386DD0">
        <w:rPr>
          <w:rFonts w:ascii="Arial" w:hAnsi="Arial" w:cs="Arial"/>
          <w:sz w:val="20"/>
          <w:szCs w:val="20"/>
        </w:rPr>
        <w:t xml:space="preserve">Cette mission s’accomplissant sans mandat préalable, une enquête auprès des employeurs locaux doit permettre de recueillir les besoins et d’affiner les statistiques de sinistralité pour les intégrer dans le cahier des charges de consultation des prestataires. Les collectivités et établissements publics pourront adhérer à ces conventions départementales (ou supra-départementale) par délibération, après avis du Comité technique, et signature d’une convention avec le Centre de Gestion. </w:t>
      </w:r>
    </w:p>
    <w:p w:rsidR="00624F40" w:rsidRPr="00386DD0" w:rsidRDefault="00624F40" w:rsidP="008F72A8">
      <w:pPr>
        <w:spacing w:before="120"/>
        <w:jc w:val="both"/>
        <w:rPr>
          <w:rFonts w:ascii="Arial" w:hAnsi="Arial" w:cs="Arial"/>
          <w:sz w:val="20"/>
          <w:szCs w:val="20"/>
        </w:rPr>
      </w:pPr>
      <w:r w:rsidRPr="00386DD0">
        <w:rPr>
          <w:rFonts w:ascii="Arial" w:hAnsi="Arial" w:cs="Arial"/>
          <w:sz w:val="20"/>
          <w:szCs w:val="20"/>
        </w:rPr>
        <w:t xml:space="preserve">L’adhésion à ces conventions demeurera naturellement facultative pour les collectivités, celles-ci ayant la possibilité de négocier leur propre contrat collectif ou de choisir de financer les contrats individuels labellisés de leurs agents. </w:t>
      </w:r>
    </w:p>
    <w:p w:rsidR="00624F40" w:rsidRPr="00386DD0" w:rsidRDefault="00624F40" w:rsidP="008F72A8">
      <w:pPr>
        <w:spacing w:before="120"/>
        <w:jc w:val="both"/>
        <w:rPr>
          <w:rFonts w:ascii="Arial" w:hAnsi="Arial" w:cs="Arial"/>
          <w:sz w:val="20"/>
          <w:szCs w:val="20"/>
        </w:rPr>
      </w:pPr>
      <w:r w:rsidRPr="00386DD0">
        <w:rPr>
          <w:rFonts w:ascii="Arial" w:hAnsi="Arial" w:cs="Arial"/>
          <w:sz w:val="20"/>
          <w:szCs w:val="20"/>
        </w:rPr>
        <w:t xml:space="preserve">La conclusion d’une convention de participation à l’échelle départementale ou supra-départementale vise, d’une part, à une harmonisation des politiques d’accompagnement social à l’emploi au sein d’un territoire et, d’autre part, permet une plus grande mutualisation des risques ce qui rend plus attractif le rapport prix/prestations. </w:t>
      </w:r>
    </w:p>
    <w:p w:rsidR="00624F40" w:rsidRPr="00386DD0" w:rsidRDefault="00624F40" w:rsidP="008F72A8">
      <w:pPr>
        <w:spacing w:before="120"/>
        <w:jc w:val="both"/>
        <w:rPr>
          <w:rFonts w:ascii="Arial" w:hAnsi="Arial" w:cs="Arial"/>
          <w:sz w:val="20"/>
          <w:szCs w:val="20"/>
        </w:rPr>
      </w:pPr>
      <w:r w:rsidRPr="00386DD0">
        <w:rPr>
          <w:rFonts w:ascii="Arial" w:hAnsi="Arial" w:cs="Arial"/>
          <w:sz w:val="20"/>
          <w:szCs w:val="20"/>
        </w:rPr>
        <w:t xml:space="preserve">Dans ce cadre, trois Centres de Gestion normands (Calvados, Orne et Seine-Maritime) ont décidé de mener ensemble une étude et de bénéficier d’une assistance à maîtrise d’ouvrage (AMO) commune pour la conclusion de leurs conventions de participation santé et prévoyance. Il est précisé que chaque Centre de gestion restera l’interlocuteur unique des collectivités de son département qui souhaitent adhérer à l’une et/ou l’autre des conventions de participation. </w:t>
      </w:r>
    </w:p>
    <w:p w:rsidR="00624F40" w:rsidRDefault="00624F40" w:rsidP="008F72A8">
      <w:pPr>
        <w:spacing w:before="120"/>
        <w:jc w:val="both"/>
        <w:rPr>
          <w:rFonts w:ascii="Arial" w:hAnsi="Arial" w:cs="Arial"/>
          <w:sz w:val="20"/>
          <w:szCs w:val="20"/>
        </w:rPr>
      </w:pPr>
      <w:r w:rsidRPr="00386DD0">
        <w:rPr>
          <w:rFonts w:ascii="Arial" w:hAnsi="Arial" w:cs="Arial"/>
          <w:sz w:val="20"/>
          <w:szCs w:val="20"/>
        </w:rPr>
        <w:t xml:space="preserve">En l’absence des décrets d’application permettant d’engager la procédure de consultation, les Centres de gestion partagent l’objectif de proposer les deux conventions de participation « santé » et </w:t>
      </w:r>
      <w:r>
        <w:rPr>
          <w:rFonts w:ascii="Arial" w:hAnsi="Arial" w:cs="Arial"/>
          <w:sz w:val="20"/>
          <w:szCs w:val="20"/>
        </w:rPr>
        <w:br/>
      </w:r>
      <w:r w:rsidRPr="00386DD0">
        <w:rPr>
          <w:rFonts w:ascii="Arial" w:hAnsi="Arial" w:cs="Arial"/>
          <w:sz w:val="20"/>
          <w:szCs w:val="20"/>
        </w:rPr>
        <w:t>« prévoyance » à compter du 1</w:t>
      </w:r>
      <w:r w:rsidRPr="00A53500">
        <w:rPr>
          <w:rFonts w:ascii="Arial" w:hAnsi="Arial" w:cs="Arial"/>
          <w:sz w:val="20"/>
          <w:szCs w:val="20"/>
          <w:vertAlign w:val="superscript"/>
        </w:rPr>
        <w:t>er</w:t>
      </w:r>
      <w:r>
        <w:rPr>
          <w:rFonts w:ascii="Arial" w:hAnsi="Arial" w:cs="Arial"/>
          <w:sz w:val="20"/>
          <w:szCs w:val="20"/>
        </w:rPr>
        <w:t xml:space="preserve"> </w:t>
      </w:r>
      <w:r w:rsidRPr="00386DD0">
        <w:rPr>
          <w:rFonts w:ascii="Arial" w:hAnsi="Arial" w:cs="Arial"/>
          <w:sz w:val="20"/>
          <w:szCs w:val="20"/>
        </w:rPr>
        <w:t xml:space="preserve">janvier 2023. </w:t>
      </w:r>
    </w:p>
    <w:p w:rsidR="00660E26" w:rsidRPr="00386DD0" w:rsidRDefault="00660E26" w:rsidP="00624F40">
      <w:pPr>
        <w:jc w:val="both"/>
        <w:rPr>
          <w:rFonts w:ascii="Arial" w:hAnsi="Arial" w:cs="Arial"/>
          <w:sz w:val="20"/>
          <w:szCs w:val="20"/>
        </w:rPr>
      </w:pPr>
    </w:p>
    <w:p w:rsidR="00624F40" w:rsidRPr="00A53500" w:rsidRDefault="00624F40" w:rsidP="00624F40">
      <w:pPr>
        <w:jc w:val="both"/>
        <w:rPr>
          <w:rFonts w:ascii="Arial" w:hAnsi="Arial" w:cs="Arial"/>
          <w:b/>
          <w:sz w:val="20"/>
          <w:szCs w:val="20"/>
        </w:rPr>
      </w:pPr>
      <w:r w:rsidRPr="00A53500">
        <w:rPr>
          <w:rFonts w:ascii="Arial" w:hAnsi="Arial" w:cs="Arial"/>
          <w:b/>
          <w:sz w:val="20"/>
          <w:szCs w:val="20"/>
        </w:rPr>
        <w:t xml:space="preserve">Compte tenu de l’ensemble des éléments exposés et suivant les avis favorables de la </w:t>
      </w:r>
      <w:r w:rsidRPr="00E25678">
        <w:rPr>
          <w:rFonts w:ascii="Arial" w:hAnsi="Arial" w:cs="Arial"/>
          <w:b/>
          <w:sz w:val="20"/>
          <w:szCs w:val="20"/>
        </w:rPr>
        <w:t xml:space="preserve">commission « Finances, Moyens Généraux et Personnel » réunie le 9 février 2022 et du Bureau </w:t>
      </w:r>
      <w:r w:rsidRPr="00A53500">
        <w:rPr>
          <w:rFonts w:ascii="Arial" w:hAnsi="Arial" w:cs="Arial"/>
          <w:b/>
          <w:sz w:val="20"/>
          <w:szCs w:val="20"/>
        </w:rPr>
        <w:t xml:space="preserve">communautaire réuni le 7 février 2022, il est ainsi demandé au Conseil communautaire de : </w:t>
      </w:r>
    </w:p>
    <w:p w:rsidR="00624F40" w:rsidRDefault="00624F40" w:rsidP="00F84534">
      <w:pPr>
        <w:pStyle w:val="Paragraphedeliste"/>
        <w:numPr>
          <w:ilvl w:val="0"/>
          <w:numId w:val="12"/>
        </w:numPr>
        <w:spacing w:before="120" w:after="160"/>
        <w:ind w:left="426" w:hanging="284"/>
        <w:jc w:val="both"/>
        <w:rPr>
          <w:rFonts w:ascii="Arial" w:hAnsi="Arial" w:cs="Arial"/>
          <w:sz w:val="20"/>
          <w:szCs w:val="20"/>
        </w:rPr>
      </w:pPr>
      <w:r w:rsidRPr="00A53500">
        <w:rPr>
          <w:rFonts w:ascii="Arial" w:hAnsi="Arial" w:cs="Arial"/>
          <w:sz w:val="20"/>
          <w:szCs w:val="20"/>
        </w:rPr>
        <w:t>Prendre acte des nouvelles dispositions prochainement en vigueur en matière de protection sociale complémentaire des agents territoriaux (ordonnance n°2021-175 du 17 février 2021),</w:t>
      </w:r>
    </w:p>
    <w:p w:rsidR="00624F40" w:rsidRPr="005C1CE1" w:rsidRDefault="00624F40" w:rsidP="00F84534">
      <w:pPr>
        <w:pStyle w:val="Paragraphedeliste"/>
        <w:ind w:left="426" w:hanging="284"/>
        <w:jc w:val="both"/>
        <w:rPr>
          <w:rFonts w:ascii="Arial" w:hAnsi="Arial" w:cs="Arial"/>
          <w:sz w:val="12"/>
          <w:szCs w:val="12"/>
        </w:rPr>
      </w:pPr>
      <w:r w:rsidRPr="00A53500">
        <w:rPr>
          <w:rFonts w:ascii="Arial" w:hAnsi="Arial" w:cs="Arial"/>
          <w:sz w:val="20"/>
          <w:szCs w:val="20"/>
        </w:rPr>
        <w:t xml:space="preserve"> </w:t>
      </w:r>
    </w:p>
    <w:p w:rsidR="004F52C3" w:rsidRDefault="00624F40" w:rsidP="00F84534">
      <w:pPr>
        <w:pStyle w:val="Paragraphedeliste"/>
        <w:numPr>
          <w:ilvl w:val="0"/>
          <w:numId w:val="12"/>
        </w:numPr>
        <w:spacing w:after="160"/>
        <w:ind w:left="426" w:hanging="284"/>
        <w:jc w:val="both"/>
        <w:rPr>
          <w:rFonts w:ascii="Arial" w:hAnsi="Arial" w:cs="Arial"/>
          <w:sz w:val="20"/>
          <w:szCs w:val="20"/>
        </w:rPr>
      </w:pPr>
      <w:r w:rsidRPr="00A53500">
        <w:rPr>
          <w:rFonts w:ascii="Arial" w:hAnsi="Arial" w:cs="Arial"/>
          <w:sz w:val="20"/>
          <w:szCs w:val="20"/>
        </w:rPr>
        <w:t>Donner son accord de principe pour participer à l’enquête lancée par le Centre de Gestion afin de connaître les intentions et souhaits des collectivités et de leurs établissements en matière de prestations sociales complémentaires</w:t>
      </w: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0707" w:rsidTr="008F72A8">
        <w:tc>
          <w:tcPr>
            <w:tcW w:w="9060" w:type="dxa"/>
            <w:shd w:val="clear" w:color="auto" w:fill="CCFFCC"/>
          </w:tcPr>
          <w:p w:rsidR="00B40707" w:rsidRPr="003346E0" w:rsidRDefault="00B40707" w:rsidP="001B0BDC">
            <w:pPr>
              <w:ind w:right="-290"/>
              <w:jc w:val="both"/>
              <w:rPr>
                <w:rFonts w:ascii="Arial" w:hAnsi="Arial" w:cs="Arial"/>
                <w:sz w:val="12"/>
                <w:szCs w:val="12"/>
              </w:rPr>
            </w:pPr>
          </w:p>
          <w:p w:rsidR="00B40707" w:rsidRPr="00B40707" w:rsidRDefault="00B40707" w:rsidP="00B40707">
            <w:pPr>
              <w:ind w:right="-290"/>
              <w:jc w:val="center"/>
              <w:rPr>
                <w:rFonts w:ascii="Arial" w:hAnsi="Arial" w:cs="Arial"/>
                <w:b/>
                <w:color w:val="FFFFFF"/>
                <w:sz w:val="28"/>
                <w:szCs w:val="28"/>
              </w:rPr>
            </w:pPr>
            <w:r w:rsidRPr="00B40707">
              <w:rPr>
                <w:rFonts w:ascii="Arial" w:hAnsi="Arial" w:cs="Arial"/>
                <w:b/>
                <w:color w:val="FFFFFF"/>
                <w:sz w:val="28"/>
                <w:szCs w:val="28"/>
              </w:rPr>
              <w:t>VOTE</w:t>
            </w:r>
          </w:p>
          <w:p w:rsidR="00B40707" w:rsidRPr="003346E0" w:rsidRDefault="00B40707" w:rsidP="001B0BDC">
            <w:pPr>
              <w:ind w:right="-290"/>
              <w:jc w:val="both"/>
              <w:rPr>
                <w:rFonts w:ascii="Arial" w:hAnsi="Arial" w:cs="Arial"/>
                <w:sz w:val="12"/>
                <w:szCs w:val="12"/>
              </w:rPr>
            </w:pPr>
          </w:p>
        </w:tc>
      </w:tr>
    </w:tbl>
    <w:p w:rsidR="00F84534" w:rsidRPr="003346E0" w:rsidRDefault="00F84534" w:rsidP="00F84534">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F84534" w:rsidTr="00FF4A3B">
        <w:tc>
          <w:tcPr>
            <w:tcW w:w="9210" w:type="dxa"/>
            <w:gridSpan w:val="6"/>
          </w:tcPr>
          <w:p w:rsidR="00F84534" w:rsidRDefault="00F84534" w:rsidP="00FF4A3B">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F84534" w:rsidRPr="003346E0" w:rsidTr="00FF4A3B">
        <w:tc>
          <w:tcPr>
            <w:tcW w:w="9210" w:type="dxa"/>
            <w:gridSpan w:val="6"/>
          </w:tcPr>
          <w:p w:rsidR="00F84534" w:rsidRPr="003346E0" w:rsidRDefault="00F84534" w:rsidP="00FF4A3B">
            <w:pPr>
              <w:jc w:val="both"/>
              <w:rPr>
                <w:rFonts w:ascii="Arial" w:hAnsi="Arial" w:cs="Arial"/>
                <w:sz w:val="12"/>
                <w:szCs w:val="12"/>
              </w:rPr>
            </w:pPr>
          </w:p>
        </w:tc>
      </w:tr>
      <w:tr w:rsidR="00F84534" w:rsidTr="00FF4A3B">
        <w:tc>
          <w:tcPr>
            <w:tcW w:w="1535" w:type="dxa"/>
          </w:tcPr>
          <w:p w:rsidR="00F84534" w:rsidRDefault="00F84534" w:rsidP="00FF4A3B">
            <w:pPr>
              <w:jc w:val="center"/>
              <w:rPr>
                <w:rFonts w:ascii="Arial" w:hAnsi="Arial" w:cs="Arial"/>
                <w:sz w:val="20"/>
                <w:szCs w:val="20"/>
              </w:rPr>
            </w:pPr>
            <w:r>
              <w:rPr>
                <w:rFonts w:ascii="Arial" w:hAnsi="Arial" w:cs="Arial"/>
                <w:sz w:val="20"/>
                <w:szCs w:val="20"/>
              </w:rPr>
              <w:t>Pour :</w:t>
            </w:r>
          </w:p>
        </w:tc>
        <w:tc>
          <w:tcPr>
            <w:tcW w:w="1535" w:type="dxa"/>
          </w:tcPr>
          <w:p w:rsidR="00F84534" w:rsidRPr="009719AB" w:rsidRDefault="00F84534" w:rsidP="00FF4A3B">
            <w:pPr>
              <w:jc w:val="center"/>
              <w:rPr>
                <w:rFonts w:ascii="Arial" w:hAnsi="Arial" w:cs="Arial"/>
                <w:b/>
                <w:sz w:val="20"/>
                <w:szCs w:val="20"/>
              </w:rPr>
            </w:pPr>
            <w:r>
              <w:rPr>
                <w:rFonts w:ascii="Arial" w:hAnsi="Arial" w:cs="Arial"/>
                <w:b/>
                <w:sz w:val="20"/>
                <w:szCs w:val="20"/>
              </w:rPr>
              <w:t>55</w:t>
            </w:r>
          </w:p>
        </w:tc>
        <w:tc>
          <w:tcPr>
            <w:tcW w:w="1535" w:type="dxa"/>
          </w:tcPr>
          <w:p w:rsidR="00F84534" w:rsidRDefault="00F84534" w:rsidP="00FF4A3B">
            <w:pPr>
              <w:jc w:val="center"/>
              <w:rPr>
                <w:rFonts w:ascii="Arial" w:hAnsi="Arial" w:cs="Arial"/>
                <w:sz w:val="20"/>
                <w:szCs w:val="20"/>
              </w:rPr>
            </w:pPr>
            <w:r>
              <w:rPr>
                <w:rFonts w:ascii="Arial" w:hAnsi="Arial" w:cs="Arial"/>
                <w:sz w:val="20"/>
                <w:szCs w:val="20"/>
              </w:rPr>
              <w:t>Contre :</w:t>
            </w:r>
          </w:p>
        </w:tc>
        <w:tc>
          <w:tcPr>
            <w:tcW w:w="1535" w:type="dxa"/>
          </w:tcPr>
          <w:p w:rsidR="00F84534" w:rsidRPr="009719AB" w:rsidRDefault="00F84534" w:rsidP="00FF4A3B">
            <w:pPr>
              <w:jc w:val="center"/>
              <w:rPr>
                <w:rFonts w:ascii="Arial" w:hAnsi="Arial" w:cs="Arial"/>
                <w:b/>
                <w:sz w:val="20"/>
                <w:szCs w:val="20"/>
              </w:rPr>
            </w:pPr>
            <w:r>
              <w:rPr>
                <w:rFonts w:ascii="Arial" w:hAnsi="Arial" w:cs="Arial"/>
                <w:b/>
                <w:sz w:val="20"/>
                <w:szCs w:val="20"/>
              </w:rPr>
              <w:t>0</w:t>
            </w:r>
          </w:p>
        </w:tc>
        <w:tc>
          <w:tcPr>
            <w:tcW w:w="1535" w:type="dxa"/>
          </w:tcPr>
          <w:p w:rsidR="00F84534" w:rsidRDefault="00F84534" w:rsidP="00FF4A3B">
            <w:pPr>
              <w:jc w:val="center"/>
              <w:rPr>
                <w:rFonts w:ascii="Arial" w:hAnsi="Arial" w:cs="Arial"/>
                <w:sz w:val="20"/>
                <w:szCs w:val="20"/>
              </w:rPr>
            </w:pPr>
            <w:r>
              <w:rPr>
                <w:rFonts w:ascii="Arial" w:hAnsi="Arial" w:cs="Arial"/>
                <w:sz w:val="20"/>
                <w:szCs w:val="20"/>
              </w:rPr>
              <w:t>Abstentions :</w:t>
            </w:r>
          </w:p>
        </w:tc>
        <w:tc>
          <w:tcPr>
            <w:tcW w:w="1535" w:type="dxa"/>
          </w:tcPr>
          <w:p w:rsidR="00F84534" w:rsidRPr="009719AB" w:rsidRDefault="00F84534" w:rsidP="00FF4A3B">
            <w:pPr>
              <w:jc w:val="center"/>
              <w:rPr>
                <w:rFonts w:ascii="Arial" w:hAnsi="Arial" w:cs="Arial"/>
                <w:b/>
                <w:sz w:val="20"/>
                <w:szCs w:val="20"/>
              </w:rPr>
            </w:pPr>
            <w:r>
              <w:rPr>
                <w:rFonts w:ascii="Arial" w:hAnsi="Arial" w:cs="Arial"/>
                <w:b/>
                <w:sz w:val="20"/>
                <w:szCs w:val="20"/>
              </w:rPr>
              <w:t>0</w:t>
            </w:r>
          </w:p>
        </w:tc>
      </w:tr>
      <w:tr w:rsidR="00F84534" w:rsidRPr="003346E0" w:rsidTr="00FF4A3B">
        <w:tc>
          <w:tcPr>
            <w:tcW w:w="9210" w:type="dxa"/>
            <w:gridSpan w:val="6"/>
          </w:tcPr>
          <w:p w:rsidR="00F84534" w:rsidRPr="003346E0" w:rsidRDefault="00F84534" w:rsidP="00FF4A3B">
            <w:pPr>
              <w:jc w:val="both"/>
              <w:rPr>
                <w:rFonts w:ascii="Arial" w:hAnsi="Arial" w:cs="Arial"/>
                <w:sz w:val="12"/>
                <w:szCs w:val="12"/>
              </w:rPr>
            </w:pPr>
          </w:p>
        </w:tc>
      </w:tr>
      <w:tr w:rsidR="00F84534" w:rsidTr="00FF4A3B">
        <w:tc>
          <w:tcPr>
            <w:tcW w:w="9210" w:type="dxa"/>
            <w:gridSpan w:val="6"/>
          </w:tcPr>
          <w:p w:rsidR="00F84534" w:rsidRPr="009719AB" w:rsidRDefault="00F84534" w:rsidP="00FF4A3B">
            <w:pPr>
              <w:tabs>
                <w:tab w:val="left" w:pos="2977"/>
              </w:tabs>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bookmarkStart w:id="0" w:name="CaseACocher2"/>
            <w:r w:rsidRPr="00C23BEE">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23BEE">
              <w:rPr>
                <w:rFonts w:ascii="Arial" w:hAnsi="Arial" w:cs="Arial"/>
                <w:b/>
                <w:sz w:val="20"/>
                <w:szCs w:val="20"/>
              </w:rPr>
              <w:fldChar w:fldCharType="end"/>
            </w:r>
            <w:bookmarkEnd w:id="0"/>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bookmarkStart w:id="1" w:name="CaseACocher4"/>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1"/>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bookmarkStart w:id="2" w:name="CaseACocher3"/>
            <w:r w:rsidRPr="00C23BEE">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23BEE">
              <w:rPr>
                <w:rFonts w:ascii="Arial" w:hAnsi="Arial" w:cs="Arial"/>
                <w:b/>
                <w:sz w:val="20"/>
                <w:szCs w:val="20"/>
              </w:rPr>
              <w:fldChar w:fldCharType="end"/>
            </w:r>
            <w:bookmarkEnd w:id="2"/>
            <w:r w:rsidRPr="00C23BEE">
              <w:rPr>
                <w:rFonts w:ascii="Arial" w:hAnsi="Arial" w:cs="Arial"/>
                <w:b/>
                <w:sz w:val="20"/>
                <w:szCs w:val="20"/>
              </w:rPr>
              <w:t xml:space="preserve"> Non adopté</w:t>
            </w:r>
          </w:p>
        </w:tc>
      </w:tr>
    </w:tbl>
    <w:p w:rsidR="00F84534" w:rsidRPr="00A7575A" w:rsidRDefault="00F84534" w:rsidP="00F84534">
      <w:pPr>
        <w:jc w:val="both"/>
        <w:rPr>
          <w:rFonts w:ascii="Arial" w:hAnsi="Arial" w:cs="Arial"/>
          <w:sz w:val="20"/>
          <w:szCs w:val="20"/>
        </w:rPr>
      </w:pPr>
    </w:p>
    <w:p w:rsidR="001F349C" w:rsidRDefault="00ED0A6C" w:rsidP="001F349C">
      <w:pPr>
        <w:pStyle w:val="Corpsdetexte2"/>
        <w:rPr>
          <w:rFonts w:cs="Arial"/>
        </w:rPr>
      </w:pPr>
      <w:bookmarkStart w:id="3" w:name="_GoBack"/>
      <w:bookmarkEnd w:id="3"/>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Pr="002950E1" w:rsidRDefault="00ED0A6C" w:rsidP="00ED0A6C">
      <w:pPr>
        <w:pStyle w:val="Corpsdetexte2"/>
        <w:rPr>
          <w:rFonts w:cs="Arial"/>
        </w:rPr>
      </w:pPr>
    </w:p>
    <w:p w:rsidR="00ED0A6C" w:rsidRDefault="00ED0A6C" w:rsidP="00ED0A6C">
      <w:pPr>
        <w:pStyle w:val="Corpsdetexte2"/>
        <w:ind w:firstLine="2835"/>
        <w:rPr>
          <w:rFonts w:cs="Arial"/>
        </w:rPr>
      </w:pPr>
      <w:r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p>
    <w:p w:rsidR="003346E0" w:rsidRDefault="003346E0" w:rsidP="00ED0A6C">
      <w:pPr>
        <w:ind w:right="-290" w:firstLine="2835"/>
        <w:jc w:val="both"/>
        <w:rPr>
          <w:rFonts w:ascii="Arial" w:hAnsi="Arial" w:cs="Arial"/>
          <w:sz w:val="20"/>
          <w:szCs w:val="20"/>
        </w:rPr>
      </w:pPr>
    </w:p>
    <w:p w:rsidR="003346E0" w:rsidRPr="003346E0" w:rsidRDefault="003346E0" w:rsidP="00ED0A6C">
      <w:pPr>
        <w:ind w:right="-290" w:firstLine="2835"/>
        <w:jc w:val="both"/>
        <w:rPr>
          <w:rFonts w:ascii="Arial" w:hAnsi="Arial" w:cs="Arial"/>
          <w:color w:val="FFFFFF" w:themeColor="background1"/>
          <w:sz w:val="20"/>
          <w:szCs w:val="20"/>
        </w:rPr>
      </w:pPr>
      <w:r w:rsidRPr="003346E0">
        <w:rPr>
          <w:rFonts w:ascii="Arial" w:hAnsi="Arial" w:cs="Arial"/>
          <w:color w:val="FFFFFF" w:themeColor="background1"/>
          <w:sz w:val="20"/>
          <w:szCs w:val="20"/>
        </w:rPr>
        <w:t>#signature#</w:t>
      </w:r>
    </w:p>
    <w:sectPr w:rsidR="003346E0" w:rsidRPr="003346E0" w:rsidSect="00FC7859">
      <w:headerReference w:type="default" r:id="rId12"/>
      <w:footerReference w:type="default" r:id="rId13"/>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16F" w:rsidRDefault="0054616F">
      <w:r>
        <w:separator/>
      </w:r>
    </w:p>
  </w:endnote>
  <w:endnote w:type="continuationSeparator" w:id="0">
    <w:p w:rsidR="0054616F" w:rsidRDefault="0054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Default="002E39EA"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rsidR="00F60A16">
      <w:t xml:space="preserve">Page </w:t>
    </w:r>
    <w:r w:rsidR="00115D40">
      <w:rPr>
        <w:b/>
      </w:rPr>
      <w:fldChar w:fldCharType="begin"/>
    </w:r>
    <w:r w:rsidR="00F60A16">
      <w:rPr>
        <w:b/>
      </w:rPr>
      <w:instrText>PAGE</w:instrText>
    </w:r>
    <w:r w:rsidR="00115D40">
      <w:rPr>
        <w:b/>
      </w:rPr>
      <w:fldChar w:fldCharType="separate"/>
    </w:r>
    <w:r w:rsidR="007D55A3">
      <w:rPr>
        <w:b/>
        <w:noProof/>
      </w:rPr>
      <w:t>7</w:t>
    </w:r>
    <w:r w:rsidR="00115D40">
      <w:rPr>
        <w:b/>
      </w:rPr>
      <w:fldChar w:fldCharType="end"/>
    </w:r>
    <w:r w:rsidR="00F60A16">
      <w:t xml:space="preserve"> sur </w:t>
    </w:r>
    <w:r w:rsidR="00115D40">
      <w:rPr>
        <w:b/>
      </w:rPr>
      <w:fldChar w:fldCharType="begin"/>
    </w:r>
    <w:r w:rsidR="00F60A16">
      <w:rPr>
        <w:b/>
      </w:rPr>
      <w:instrText>NUMPAGES</w:instrText>
    </w:r>
    <w:r w:rsidR="00115D40">
      <w:rPr>
        <w:b/>
      </w:rPr>
      <w:fldChar w:fldCharType="separate"/>
    </w:r>
    <w:r w:rsidR="007D55A3">
      <w:rPr>
        <w:b/>
        <w:noProof/>
      </w:rPr>
      <w:t>7</w:t>
    </w:r>
    <w:r w:rsidR="00115D40">
      <w:rPr>
        <w:b/>
      </w:rPr>
      <w:fldChar w:fldCharType="end"/>
    </w:r>
  </w:p>
  <w:p w:rsidR="00F60A16" w:rsidRDefault="00F60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16F" w:rsidRDefault="0054616F">
      <w:r>
        <w:separator/>
      </w:r>
    </w:p>
  </w:footnote>
  <w:footnote w:type="continuationSeparator" w:id="0">
    <w:p w:rsidR="0054616F" w:rsidRDefault="00546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Pr="00FC7859" w:rsidRDefault="00F60A16"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00FC7859" w:rsidRPr="00FC7859">
      <w:rPr>
        <w:rFonts w:ascii="Arial" w:hAnsi="Arial" w:cs="Arial"/>
        <w:b/>
        <w:sz w:val="32"/>
        <w:szCs w:val="32"/>
      </w:rPr>
      <w:t>D202</w:t>
    </w:r>
    <w:r w:rsidR="00295C6E">
      <w:rPr>
        <w:rFonts w:ascii="Arial" w:hAnsi="Arial" w:cs="Arial"/>
        <w:b/>
        <w:sz w:val="32"/>
        <w:szCs w:val="32"/>
      </w:rPr>
      <w:t>2</w:t>
    </w:r>
    <w:r w:rsidR="00FC7859" w:rsidRPr="00FC7859">
      <w:rPr>
        <w:rFonts w:ascii="Arial" w:hAnsi="Arial" w:cs="Arial"/>
        <w:b/>
        <w:sz w:val="32"/>
        <w:szCs w:val="32"/>
      </w:rPr>
      <w:t>-</w:t>
    </w:r>
    <w:r w:rsidR="00B94C70">
      <w:rPr>
        <w:rFonts w:ascii="Arial" w:hAnsi="Arial" w:cs="Arial"/>
        <w:b/>
        <w:sz w:val="32"/>
        <w:szCs w:val="32"/>
      </w:rPr>
      <w:t>2</w:t>
    </w:r>
    <w:r w:rsidR="00FC7859" w:rsidRPr="00FC7859">
      <w:rPr>
        <w:rFonts w:ascii="Arial" w:hAnsi="Arial" w:cs="Arial"/>
        <w:b/>
        <w:sz w:val="32"/>
        <w:szCs w:val="32"/>
      </w:rPr>
      <w:t>-</w:t>
    </w:r>
    <w:r w:rsidR="00B94C70">
      <w:rPr>
        <w:rFonts w:ascii="Arial" w:hAnsi="Arial" w:cs="Arial"/>
        <w:b/>
        <w:sz w:val="32"/>
        <w:szCs w:val="32"/>
      </w:rPr>
      <w:t>2</w:t>
    </w:r>
    <w:r w:rsidR="00623911">
      <w:rPr>
        <w:rFonts w:ascii="Arial" w:hAnsi="Arial" w:cs="Arial"/>
        <w:b/>
        <w:sz w:val="32"/>
        <w:szCs w:val="32"/>
      </w:rPr>
      <w:t>-</w:t>
    </w:r>
    <w:r w:rsidR="0054616F">
      <w:rPr>
        <w:rFonts w:ascii="Arial" w:hAnsi="Arial" w:cs="Arial"/>
        <w:b/>
        <w:sz w:val="32"/>
        <w:szCs w:val="32"/>
      </w:rPr>
      <w:t>6</w:t>
    </w:r>
  </w:p>
  <w:p w:rsidR="002370A4" w:rsidRPr="002370A4" w:rsidRDefault="002370A4"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377A98"/>
    <w:multiLevelType w:val="hybridMultilevel"/>
    <w:tmpl w:val="E6643DCE"/>
    <w:lvl w:ilvl="0" w:tplc="E92A8D22">
      <w:start w:val="2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10"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1"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11"/>
  </w:num>
  <w:num w:numId="5">
    <w:abstractNumId w:val="10"/>
  </w:num>
  <w:num w:numId="6">
    <w:abstractNumId w:val="1"/>
  </w:num>
  <w:num w:numId="7">
    <w:abstractNumId w:val="6"/>
  </w:num>
  <w:num w:numId="8">
    <w:abstractNumId w:val="3"/>
  </w:num>
  <w:num w:numId="9">
    <w:abstractNumId w:val="7"/>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6F"/>
    <w:rsid w:val="00000047"/>
    <w:rsid w:val="000069D1"/>
    <w:rsid w:val="000113F0"/>
    <w:rsid w:val="00014AE9"/>
    <w:rsid w:val="00020BB2"/>
    <w:rsid w:val="000301AA"/>
    <w:rsid w:val="00042171"/>
    <w:rsid w:val="00051BE8"/>
    <w:rsid w:val="000615C1"/>
    <w:rsid w:val="000712F5"/>
    <w:rsid w:val="00075C01"/>
    <w:rsid w:val="0009452E"/>
    <w:rsid w:val="000A2430"/>
    <w:rsid w:val="000B3330"/>
    <w:rsid w:val="000D2225"/>
    <w:rsid w:val="000E4D17"/>
    <w:rsid w:val="000E55D6"/>
    <w:rsid w:val="000F7A01"/>
    <w:rsid w:val="0010478D"/>
    <w:rsid w:val="00115D40"/>
    <w:rsid w:val="0012414F"/>
    <w:rsid w:val="00137065"/>
    <w:rsid w:val="00146D52"/>
    <w:rsid w:val="00155A2F"/>
    <w:rsid w:val="00164B18"/>
    <w:rsid w:val="00176E51"/>
    <w:rsid w:val="00191B6C"/>
    <w:rsid w:val="0019330A"/>
    <w:rsid w:val="001A4372"/>
    <w:rsid w:val="001B0BDC"/>
    <w:rsid w:val="001C0CCD"/>
    <w:rsid w:val="001D4B6D"/>
    <w:rsid w:val="001F2C04"/>
    <w:rsid w:val="001F349C"/>
    <w:rsid w:val="00217E51"/>
    <w:rsid w:val="00226FED"/>
    <w:rsid w:val="00227617"/>
    <w:rsid w:val="00234F8D"/>
    <w:rsid w:val="002370A4"/>
    <w:rsid w:val="0024400D"/>
    <w:rsid w:val="002564C8"/>
    <w:rsid w:val="00257E59"/>
    <w:rsid w:val="002663D9"/>
    <w:rsid w:val="00271404"/>
    <w:rsid w:val="00276BA2"/>
    <w:rsid w:val="002806A5"/>
    <w:rsid w:val="00295C6E"/>
    <w:rsid w:val="002A0DE7"/>
    <w:rsid w:val="002A5256"/>
    <w:rsid w:val="002B10E0"/>
    <w:rsid w:val="002B1CEA"/>
    <w:rsid w:val="002B28AF"/>
    <w:rsid w:val="002C6D1E"/>
    <w:rsid w:val="002C774D"/>
    <w:rsid w:val="002D1F8F"/>
    <w:rsid w:val="002D6475"/>
    <w:rsid w:val="002D6B50"/>
    <w:rsid w:val="002E39EA"/>
    <w:rsid w:val="002E3E1D"/>
    <w:rsid w:val="002F1E77"/>
    <w:rsid w:val="002F61D3"/>
    <w:rsid w:val="00304D92"/>
    <w:rsid w:val="003249C7"/>
    <w:rsid w:val="003346E0"/>
    <w:rsid w:val="003376D2"/>
    <w:rsid w:val="00344471"/>
    <w:rsid w:val="003648AD"/>
    <w:rsid w:val="003649FC"/>
    <w:rsid w:val="0037690D"/>
    <w:rsid w:val="00380EAC"/>
    <w:rsid w:val="0039293F"/>
    <w:rsid w:val="003B1CFC"/>
    <w:rsid w:val="003B5633"/>
    <w:rsid w:val="003B6F71"/>
    <w:rsid w:val="003C63A0"/>
    <w:rsid w:val="003F5836"/>
    <w:rsid w:val="00420E19"/>
    <w:rsid w:val="00441A1D"/>
    <w:rsid w:val="00457D4D"/>
    <w:rsid w:val="00463551"/>
    <w:rsid w:val="00482BB8"/>
    <w:rsid w:val="00493728"/>
    <w:rsid w:val="004937FD"/>
    <w:rsid w:val="00494ED3"/>
    <w:rsid w:val="004A0EF8"/>
    <w:rsid w:val="004A5E9A"/>
    <w:rsid w:val="004D6BEA"/>
    <w:rsid w:val="004E516B"/>
    <w:rsid w:val="004F52C3"/>
    <w:rsid w:val="004F547A"/>
    <w:rsid w:val="00500AF5"/>
    <w:rsid w:val="00512011"/>
    <w:rsid w:val="00513810"/>
    <w:rsid w:val="0051491E"/>
    <w:rsid w:val="00533114"/>
    <w:rsid w:val="00535176"/>
    <w:rsid w:val="0054616F"/>
    <w:rsid w:val="005463E1"/>
    <w:rsid w:val="005469E2"/>
    <w:rsid w:val="0055795E"/>
    <w:rsid w:val="00575981"/>
    <w:rsid w:val="00576DEB"/>
    <w:rsid w:val="005A00A9"/>
    <w:rsid w:val="005B5B58"/>
    <w:rsid w:val="005E0B9D"/>
    <w:rsid w:val="005E2719"/>
    <w:rsid w:val="005F17AA"/>
    <w:rsid w:val="005F6239"/>
    <w:rsid w:val="006021E9"/>
    <w:rsid w:val="00613B14"/>
    <w:rsid w:val="00616B05"/>
    <w:rsid w:val="00623911"/>
    <w:rsid w:val="00624F40"/>
    <w:rsid w:val="00660E26"/>
    <w:rsid w:val="00670463"/>
    <w:rsid w:val="006924A1"/>
    <w:rsid w:val="00693435"/>
    <w:rsid w:val="006A21E0"/>
    <w:rsid w:val="006B11CF"/>
    <w:rsid w:val="006D525D"/>
    <w:rsid w:val="006D6EAC"/>
    <w:rsid w:val="006F4AF8"/>
    <w:rsid w:val="006F4F60"/>
    <w:rsid w:val="006F65BC"/>
    <w:rsid w:val="00702654"/>
    <w:rsid w:val="00707A03"/>
    <w:rsid w:val="0071741E"/>
    <w:rsid w:val="00717B34"/>
    <w:rsid w:val="00727EF8"/>
    <w:rsid w:val="00743191"/>
    <w:rsid w:val="00746941"/>
    <w:rsid w:val="007602A6"/>
    <w:rsid w:val="00773742"/>
    <w:rsid w:val="00780A76"/>
    <w:rsid w:val="0078747B"/>
    <w:rsid w:val="007A33C2"/>
    <w:rsid w:val="007A4BED"/>
    <w:rsid w:val="007A6D9A"/>
    <w:rsid w:val="007C19FB"/>
    <w:rsid w:val="007C4EB6"/>
    <w:rsid w:val="007D55A3"/>
    <w:rsid w:val="007D6281"/>
    <w:rsid w:val="007E16BC"/>
    <w:rsid w:val="007E345D"/>
    <w:rsid w:val="007F3396"/>
    <w:rsid w:val="00807CF6"/>
    <w:rsid w:val="00813573"/>
    <w:rsid w:val="00831D40"/>
    <w:rsid w:val="008406CD"/>
    <w:rsid w:val="00866207"/>
    <w:rsid w:val="00874A12"/>
    <w:rsid w:val="0088325C"/>
    <w:rsid w:val="00884B78"/>
    <w:rsid w:val="00893CB7"/>
    <w:rsid w:val="008A35EE"/>
    <w:rsid w:val="008A6CED"/>
    <w:rsid w:val="008A7FFE"/>
    <w:rsid w:val="008C7AB6"/>
    <w:rsid w:val="008E6DEC"/>
    <w:rsid w:val="008F4D99"/>
    <w:rsid w:val="008F72A8"/>
    <w:rsid w:val="00915F7A"/>
    <w:rsid w:val="00935CDA"/>
    <w:rsid w:val="00936ACA"/>
    <w:rsid w:val="00944801"/>
    <w:rsid w:val="009532EF"/>
    <w:rsid w:val="00954CA2"/>
    <w:rsid w:val="0096036C"/>
    <w:rsid w:val="00962CC0"/>
    <w:rsid w:val="00970D0E"/>
    <w:rsid w:val="00981E41"/>
    <w:rsid w:val="00986176"/>
    <w:rsid w:val="009A1C0B"/>
    <w:rsid w:val="009B5243"/>
    <w:rsid w:val="009D7D21"/>
    <w:rsid w:val="009F00B8"/>
    <w:rsid w:val="009F66FC"/>
    <w:rsid w:val="00A31CDC"/>
    <w:rsid w:val="00A36BEA"/>
    <w:rsid w:val="00A455C8"/>
    <w:rsid w:val="00A47828"/>
    <w:rsid w:val="00A60F52"/>
    <w:rsid w:val="00A652E1"/>
    <w:rsid w:val="00A7575A"/>
    <w:rsid w:val="00A765AE"/>
    <w:rsid w:val="00A77F42"/>
    <w:rsid w:val="00AA11EF"/>
    <w:rsid w:val="00AA4221"/>
    <w:rsid w:val="00AD37DB"/>
    <w:rsid w:val="00AD4FBA"/>
    <w:rsid w:val="00B068A9"/>
    <w:rsid w:val="00B15644"/>
    <w:rsid w:val="00B261C6"/>
    <w:rsid w:val="00B40707"/>
    <w:rsid w:val="00B44302"/>
    <w:rsid w:val="00B500C1"/>
    <w:rsid w:val="00B54F8B"/>
    <w:rsid w:val="00B60A02"/>
    <w:rsid w:val="00B766A1"/>
    <w:rsid w:val="00B94C70"/>
    <w:rsid w:val="00BA71CF"/>
    <w:rsid w:val="00BD6BEB"/>
    <w:rsid w:val="00BE5750"/>
    <w:rsid w:val="00BF6119"/>
    <w:rsid w:val="00BF7C40"/>
    <w:rsid w:val="00C00961"/>
    <w:rsid w:val="00C022A5"/>
    <w:rsid w:val="00C026C4"/>
    <w:rsid w:val="00C03255"/>
    <w:rsid w:val="00C23BEE"/>
    <w:rsid w:val="00C50B2E"/>
    <w:rsid w:val="00C82CBC"/>
    <w:rsid w:val="00C86D0E"/>
    <w:rsid w:val="00C92897"/>
    <w:rsid w:val="00C92A4B"/>
    <w:rsid w:val="00CA7EE5"/>
    <w:rsid w:val="00CB1694"/>
    <w:rsid w:val="00CD2858"/>
    <w:rsid w:val="00CD626E"/>
    <w:rsid w:val="00CD6A5D"/>
    <w:rsid w:val="00CF36C7"/>
    <w:rsid w:val="00CF7739"/>
    <w:rsid w:val="00D07585"/>
    <w:rsid w:val="00D11455"/>
    <w:rsid w:val="00D11D8D"/>
    <w:rsid w:val="00D12824"/>
    <w:rsid w:val="00D249E2"/>
    <w:rsid w:val="00D278EF"/>
    <w:rsid w:val="00D40CEB"/>
    <w:rsid w:val="00D53DA2"/>
    <w:rsid w:val="00D56259"/>
    <w:rsid w:val="00D57D16"/>
    <w:rsid w:val="00D64356"/>
    <w:rsid w:val="00D83704"/>
    <w:rsid w:val="00D84A20"/>
    <w:rsid w:val="00D92B9F"/>
    <w:rsid w:val="00DA775F"/>
    <w:rsid w:val="00DB3A50"/>
    <w:rsid w:val="00DB4051"/>
    <w:rsid w:val="00DE0C2B"/>
    <w:rsid w:val="00DE0CBC"/>
    <w:rsid w:val="00DE3FAD"/>
    <w:rsid w:val="00DE42FD"/>
    <w:rsid w:val="00DE5F2F"/>
    <w:rsid w:val="00DF4242"/>
    <w:rsid w:val="00E24F93"/>
    <w:rsid w:val="00E26DFF"/>
    <w:rsid w:val="00E41260"/>
    <w:rsid w:val="00E42850"/>
    <w:rsid w:val="00E531C6"/>
    <w:rsid w:val="00E55921"/>
    <w:rsid w:val="00E7598B"/>
    <w:rsid w:val="00E8496E"/>
    <w:rsid w:val="00EA23E7"/>
    <w:rsid w:val="00ED0A6C"/>
    <w:rsid w:val="00F07718"/>
    <w:rsid w:val="00F207AC"/>
    <w:rsid w:val="00F24B0A"/>
    <w:rsid w:val="00F25616"/>
    <w:rsid w:val="00F464F7"/>
    <w:rsid w:val="00F53A91"/>
    <w:rsid w:val="00F60A16"/>
    <w:rsid w:val="00F84534"/>
    <w:rsid w:val="00F86E8D"/>
    <w:rsid w:val="00F97545"/>
    <w:rsid w:val="00FC13C1"/>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A62BA7"/>
  <w15:docId w15:val="{5ED90B92-47BE-4198-885C-BE14E4A7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semiHidden/>
    <w:rsid w:val="00457D4D"/>
    <w:rPr>
      <w:b/>
      <w:bCs/>
    </w:rPr>
  </w:style>
  <w:style w:type="paragraph" w:styleId="En-tte">
    <w:name w:val="header"/>
    <w:basedOn w:val="Normal"/>
    <w:semiHidden/>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semiHidden/>
    <w:rsid w:val="00457D4D"/>
    <w:pPr>
      <w:ind w:left="-684"/>
      <w:jc w:val="both"/>
    </w:pPr>
    <w:rPr>
      <w:rFonts w:ascii="Arial" w:hAnsi="Arial" w:cs="Arial"/>
      <w:sz w:val="20"/>
    </w:rPr>
  </w:style>
  <w:style w:type="paragraph" w:styleId="Paragraphedeliste">
    <w:name w:val="List Paragraph"/>
    <w:aliases w:val="fleche verte,lp1,Paragraphe de liste num,Paragraphe de liste 1,Listes,texte de base,Tab n1,Note bas"/>
    <w:basedOn w:val="Normal"/>
    <w:link w:val="ParagraphedelisteCar"/>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5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 w:type="character" w:customStyle="1" w:styleId="ParagraphedelisteCar">
    <w:name w:val="Paragraphe de liste Car"/>
    <w:aliases w:val="fleche verte Car,lp1 Car,Paragraphe de liste num Car,Paragraphe de liste 1 Car,Listes Car,texte de base Car,Tab n1 Car,Note bas Car"/>
    <w:link w:val="Paragraphedeliste"/>
    <w:uiPriority w:val="34"/>
    <w:rsid w:val="00624F4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2-24%2002%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2F1BEA86A48A9A5DB95FA99839861"/>
        <w:category>
          <w:name w:val="Général"/>
          <w:gallery w:val="placeholder"/>
        </w:category>
        <w:types>
          <w:type w:val="bbPlcHdr"/>
        </w:types>
        <w:behaviors>
          <w:behavior w:val="content"/>
        </w:behaviors>
        <w:guid w:val="{4E48424E-696D-4A2C-BEEB-CA5B6013A5A2}"/>
      </w:docPartPr>
      <w:docPartBody>
        <w:p w:rsidR="00F70518" w:rsidRDefault="00F70518">
          <w:pPr>
            <w:pStyle w:val="6782F1BEA86A48A9A5DB95FA99839861"/>
          </w:pPr>
          <w:r w:rsidRPr="00CC3207">
            <w:rPr>
              <w:rStyle w:val="Textedelespacerserv"/>
            </w:rPr>
            <w:t>Choisissez un élément.</w:t>
          </w:r>
        </w:p>
      </w:docPartBody>
    </w:docPart>
    <w:docPart>
      <w:docPartPr>
        <w:name w:val="3ED5969E773D4403A9E595076BE153BA"/>
        <w:category>
          <w:name w:val="Général"/>
          <w:gallery w:val="placeholder"/>
        </w:category>
        <w:types>
          <w:type w:val="bbPlcHdr"/>
        </w:types>
        <w:behaviors>
          <w:behavior w:val="content"/>
        </w:behaviors>
        <w:guid w:val="{3FA1BEBF-F32C-4CB1-B30A-91101927081E}"/>
      </w:docPartPr>
      <w:docPartBody>
        <w:p w:rsidR="00F70518" w:rsidRDefault="00F70518">
          <w:pPr>
            <w:pStyle w:val="3ED5969E773D4403A9E595076BE153BA"/>
          </w:pPr>
          <w:r w:rsidRPr="00CC3207">
            <w:rPr>
              <w:rStyle w:val="Textedelespacerserv"/>
            </w:rPr>
            <w:t>Choisissez un élément.</w:t>
          </w:r>
        </w:p>
      </w:docPartBody>
    </w:docPart>
    <w:docPart>
      <w:docPartPr>
        <w:name w:val="582F0311725A41E2967058E6A64A3927"/>
        <w:category>
          <w:name w:val="Général"/>
          <w:gallery w:val="placeholder"/>
        </w:category>
        <w:types>
          <w:type w:val="bbPlcHdr"/>
        </w:types>
        <w:behaviors>
          <w:behavior w:val="content"/>
        </w:behaviors>
        <w:guid w:val="{B137371D-1F8D-4664-84EE-7DF7ED426EDE}"/>
      </w:docPartPr>
      <w:docPartBody>
        <w:p w:rsidR="000C4957" w:rsidRDefault="00D94D0D" w:rsidP="00D94D0D">
          <w:pPr>
            <w:pStyle w:val="582F0311725A41E2967058E6A64A3927"/>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18"/>
    <w:rsid w:val="000C4957"/>
    <w:rsid w:val="00D94D0D"/>
    <w:rsid w:val="00F70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94D0D"/>
    <w:rPr>
      <w:color w:val="808080"/>
    </w:rPr>
  </w:style>
  <w:style w:type="paragraph" w:customStyle="1" w:styleId="6782F1BEA86A48A9A5DB95FA99839861">
    <w:name w:val="6782F1BEA86A48A9A5DB95FA99839861"/>
  </w:style>
  <w:style w:type="paragraph" w:customStyle="1" w:styleId="3ED5969E773D4403A9E595076BE153BA">
    <w:name w:val="3ED5969E773D4403A9E595076BE153BA"/>
  </w:style>
  <w:style w:type="paragraph" w:customStyle="1" w:styleId="582F0311725A41E2967058E6A64A3927">
    <w:name w:val="582F0311725A41E2967058E6A64A3927"/>
    <w:rsid w:val="00D94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8DA249-E644-424E-A69B-0590F7541091}">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4.xml><?xml version="1.0" encoding="utf-8"?>
<ds:datastoreItem xmlns:ds="http://schemas.openxmlformats.org/officeDocument/2006/customXml" ds:itemID="{E5DDC7E9-A35D-4C2B-B9B9-E9458E74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12</TotalTime>
  <Pages>7</Pages>
  <Words>2776</Words>
  <Characters>16027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8</cp:revision>
  <cp:lastPrinted>2022-02-25T09:12:00Z</cp:lastPrinted>
  <dcterms:created xsi:type="dcterms:W3CDTF">2022-02-18T14:48:00Z</dcterms:created>
  <dcterms:modified xsi:type="dcterms:W3CDTF">2022-02-25T09:12:00Z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