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bookmarkStart w:id="0" w:name="_GoBack"/>
            <w:bookmarkEnd w:id="0"/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471288" w:rsidRPr="00D64356" w:rsidRDefault="00471288" w:rsidP="0047128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471288" w:rsidRPr="00D64356" w:rsidRDefault="00471288" w:rsidP="0047128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>
              <w:rPr>
                <w:rFonts w:ascii="Arial" w:hAnsi="Arial"/>
                <w:b/>
                <w:sz w:val="20"/>
                <w:szCs w:val="20"/>
              </w:rPr>
              <w:t>41</w:t>
            </w:r>
          </w:p>
          <w:p w:rsidR="00471288" w:rsidRPr="00D64356" w:rsidRDefault="00471288" w:rsidP="0047128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11</w:t>
            </w:r>
          </w:p>
          <w:p w:rsidR="00471288" w:rsidRPr="00D64356" w:rsidRDefault="00471288" w:rsidP="00471288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  <w:p w:rsidR="00D278EF" w:rsidRDefault="00471288" w:rsidP="00471288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04CAE">
              <w:rPr>
                <w:rFonts w:ascii="Arial" w:hAnsi="Arial"/>
                <w:b/>
                <w:sz w:val="20"/>
                <w:szCs w:val="20"/>
              </w:rPr>
              <w:t>6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F56497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mars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295C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t</w:t>
            </w:r>
            <w:proofErr w:type="gramEnd"/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1D33BB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382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1D33BB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B7A11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F56497">
              <w:rPr>
                <w:b/>
                <w:sz w:val="20"/>
              </w:rPr>
              <w:t>31 Mars</w:t>
            </w:r>
            <w:r w:rsidR="00295C6E">
              <w:rPr>
                <w:b/>
                <w:sz w:val="20"/>
              </w:rPr>
              <w:t xml:space="preserve">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F56497">
              <w:t>31 mars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</w:t>
            </w:r>
            <w:r w:rsidR="00B94C70">
              <w:t xml:space="preserve">en salle des mariages de l’Hôtel de Ville de Vire, lieu habituel choisi pour la tenue de ces séances, sous la présidence de </w:t>
            </w:r>
            <w:r w:rsidR="00B94C70">
              <w:br/>
              <w:t>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F56497">
              <w:t>25 mars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F56497">
              <w:t>25 mars</w:t>
            </w:r>
            <w:r w:rsidR="00295C6E">
              <w:t xml:space="preserve">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471288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Mme Annick ALLAIN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>e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475C0416FF994426A2E0C525D4E98AB2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C03A00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7 - Finances Locales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475C0416FF994426A2E0C525D4E98AB2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C03A00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7.2 - Fiscalité</w:t>
                </w:r>
              </w:p>
            </w:sdtContent>
          </w:sdt>
          <w:p w:rsidR="00D278EF" w:rsidRPr="003346E0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C03A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C03A00" w:rsidRPr="00C03A00">
              <w:rPr>
                <w:rFonts w:ascii="Arial" w:hAnsi="Arial" w:cs="Arial"/>
                <w:b/>
                <w:sz w:val="20"/>
                <w:szCs w:val="20"/>
              </w:rPr>
              <w:t>Produit attendu de la taxe GEMAPI</w:t>
            </w:r>
          </w:p>
        </w:tc>
      </w:tr>
    </w:tbl>
    <w:p w:rsidR="00471288" w:rsidRDefault="00471288" w:rsidP="00471288">
      <w:pPr>
        <w:ind w:right="-851"/>
        <w:jc w:val="both"/>
        <w:rPr>
          <w:rFonts w:ascii="Arial" w:hAnsi="Arial" w:cs="Arial"/>
          <w:sz w:val="20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71288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71288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4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Catherine CAILLY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Manuel MACHADO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9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471288" w:rsidTr="00AC2E7E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6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471288" w:rsidRPr="00E13320" w:rsidRDefault="00471288" w:rsidP="00471288">
      <w:pPr>
        <w:rPr>
          <w:sz w:val="2"/>
          <w:szCs w:val="2"/>
        </w:rPr>
      </w:pPr>
    </w:p>
    <w:p w:rsidR="00471288" w:rsidRDefault="00471288" w:rsidP="00471288">
      <w:r>
        <w:br w:type="page"/>
      </w: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71288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71288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1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2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4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53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64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6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3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4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186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Martine TREMPU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12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21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71288" w:rsidTr="00AC2E7E">
        <w:trPr>
          <w:trHeight w:val="113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90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Régis DELIQUAIRE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Sandrine SAMSON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Annick ALLAIN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72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</w:tbl>
    <w:p w:rsidR="00471288" w:rsidRDefault="00471288" w:rsidP="00471288">
      <w:pPr>
        <w:rPr>
          <w:sz w:val="8"/>
          <w:szCs w:val="8"/>
        </w:rPr>
      </w:pPr>
    </w:p>
    <w:p w:rsidR="00471288" w:rsidRPr="00F11D18" w:rsidRDefault="00471288" w:rsidP="00471288">
      <w:pPr>
        <w:rPr>
          <w:sz w:val="4"/>
          <w:szCs w:val="4"/>
        </w:rPr>
      </w:pPr>
    </w:p>
    <w:tbl>
      <w:tblPr>
        <w:tblW w:w="10140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20"/>
        <w:gridCol w:w="2040"/>
        <w:gridCol w:w="2260"/>
        <w:gridCol w:w="1120"/>
        <w:gridCol w:w="880"/>
      </w:tblGrid>
      <w:tr w:rsidR="00471288" w:rsidTr="00AC2E7E">
        <w:trPr>
          <w:trHeight w:val="192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471288" w:rsidTr="00AC2E7E">
        <w:trPr>
          <w:trHeight w:val="1632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1288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Jean-Paul ANGENEAU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Caroline CHANU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38"/>
        </w:trPr>
        <w:tc>
          <w:tcPr>
            <w:tcW w:w="101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Pr="002E64BE" w:rsidRDefault="00471288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2E64BE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Mme Marie-Ange CORDIER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Pr="00E765F4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Serge COUASNON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Pr="00E765F4" w:rsidRDefault="00471288" w:rsidP="00AC2E7E">
            <w:pPr>
              <w:ind w:hanging="140"/>
              <w:jc w:val="right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765F4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X : M. Marc ANDREU SABATER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238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71288" w:rsidTr="00AC2E7E">
        <w:trPr>
          <w:trHeight w:val="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288" w:rsidRDefault="00471288" w:rsidP="00AC2E7E">
            <w:pPr>
              <w:rPr>
                <w:sz w:val="20"/>
                <w:szCs w:val="20"/>
              </w:rPr>
            </w:pPr>
          </w:p>
        </w:tc>
      </w:tr>
      <w:tr w:rsidR="00471288" w:rsidTr="00AC2E7E">
        <w:trPr>
          <w:trHeight w:val="202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471288" w:rsidTr="00AC2E7E">
        <w:trPr>
          <w:trHeight w:val="2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471288" w:rsidTr="00AC2E7E">
        <w:trPr>
          <w:trHeight w:val="213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471288" w:rsidTr="00AC2E7E">
        <w:trPr>
          <w:trHeight w:val="173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V de l'article 10 de la Loi n°2021-1465 du 10 novembre 2021)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471288" w:rsidTr="00AC2E7E">
        <w:trPr>
          <w:trHeight w:val="26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1288" w:rsidRDefault="00471288" w:rsidP="00AC2E7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471288" w:rsidRDefault="00471288" w:rsidP="00471288">
      <w:pPr>
        <w:ind w:right="-851"/>
        <w:jc w:val="both"/>
        <w:rPr>
          <w:rFonts w:ascii="Arial" w:hAnsi="Arial" w:cs="Arial"/>
          <w:sz w:val="20"/>
        </w:rPr>
      </w:pPr>
    </w:p>
    <w:p w:rsidR="00137065" w:rsidRDefault="00137065" w:rsidP="001B0BDC">
      <w:pPr>
        <w:ind w:right="-851"/>
        <w:jc w:val="both"/>
        <w:rPr>
          <w:rFonts w:ascii="Arial" w:hAnsi="Arial" w:cs="Arial"/>
          <w:sz w:val="20"/>
        </w:rPr>
      </w:pPr>
    </w:p>
    <w:p w:rsidR="00014AE9" w:rsidRPr="00F60A16" w:rsidRDefault="00C52E22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A8577DECCF5746DCBF40BC73AA333F33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CC7A99">
            <w:rPr>
              <w:rFonts w:ascii="Arial" w:hAnsi="Arial" w:cs="Arial"/>
              <w:b/>
              <w:sz w:val="20"/>
            </w:rPr>
            <w:t>Mme Annie ROSSI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proofErr w:type="gramStart"/>
      <w:r w:rsidR="00014AE9" w:rsidRPr="00F60A16">
        <w:rPr>
          <w:rFonts w:ascii="Arial" w:hAnsi="Arial" w:cs="Arial"/>
          <w:b/>
          <w:sz w:val="20"/>
        </w:rPr>
        <w:t>donne</w:t>
      </w:r>
      <w:proofErr w:type="gramEnd"/>
      <w:r w:rsidR="00014AE9" w:rsidRPr="00F60A16">
        <w:rPr>
          <w:rFonts w:ascii="Arial" w:hAnsi="Arial" w:cs="Arial"/>
          <w:b/>
          <w:sz w:val="20"/>
        </w:rPr>
        <w:t xml:space="preserve">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CC7A99" w:rsidRPr="00702EF9" w:rsidRDefault="00CC7A99" w:rsidP="00CC7A9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CC7A99" w:rsidRPr="00702EF9" w:rsidRDefault="00CC7A99" w:rsidP="00810DA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Par délibération du 23 septembre 2021, le conseil communautaire a institué la taxe additionnelle permettant de gérer la compétence « </w:t>
      </w:r>
      <w:proofErr w:type="spellStart"/>
      <w:r w:rsidRPr="00702EF9">
        <w:rPr>
          <w:rFonts w:ascii="Arial" w:hAnsi="Arial" w:cs="Arial"/>
          <w:b/>
          <w:sz w:val="20"/>
          <w:szCs w:val="20"/>
        </w:rPr>
        <w:t>GE</w:t>
      </w:r>
      <w:r w:rsidRPr="00702EF9">
        <w:rPr>
          <w:rFonts w:ascii="Arial" w:hAnsi="Arial" w:cs="Arial"/>
          <w:sz w:val="20"/>
          <w:szCs w:val="20"/>
        </w:rPr>
        <w:t>stion</w:t>
      </w:r>
      <w:proofErr w:type="spellEnd"/>
      <w:r w:rsidRPr="00702EF9">
        <w:rPr>
          <w:rFonts w:ascii="Arial" w:hAnsi="Arial" w:cs="Arial"/>
          <w:sz w:val="20"/>
          <w:szCs w:val="20"/>
        </w:rPr>
        <w:t xml:space="preserve"> des Milieux </w:t>
      </w:r>
      <w:r w:rsidRPr="00702EF9">
        <w:rPr>
          <w:rFonts w:ascii="Arial" w:hAnsi="Arial" w:cs="Arial"/>
          <w:b/>
          <w:sz w:val="20"/>
          <w:szCs w:val="20"/>
        </w:rPr>
        <w:t>A</w:t>
      </w:r>
      <w:r w:rsidRPr="00702EF9">
        <w:rPr>
          <w:rFonts w:ascii="Arial" w:hAnsi="Arial" w:cs="Arial"/>
          <w:sz w:val="20"/>
          <w:szCs w:val="20"/>
        </w:rPr>
        <w:t xml:space="preserve">quatiques et de </w:t>
      </w:r>
      <w:r w:rsidRPr="00702EF9">
        <w:rPr>
          <w:rFonts w:ascii="Arial" w:hAnsi="Arial" w:cs="Arial"/>
          <w:b/>
          <w:sz w:val="20"/>
          <w:szCs w:val="20"/>
        </w:rPr>
        <w:t>P</w:t>
      </w:r>
      <w:r w:rsidRPr="00702EF9">
        <w:rPr>
          <w:rFonts w:ascii="Arial" w:hAnsi="Arial" w:cs="Arial"/>
          <w:sz w:val="20"/>
          <w:szCs w:val="20"/>
        </w:rPr>
        <w:t xml:space="preserve">révention des </w:t>
      </w:r>
      <w:r w:rsidRPr="00702EF9">
        <w:rPr>
          <w:rFonts w:ascii="Arial" w:hAnsi="Arial" w:cs="Arial"/>
          <w:b/>
          <w:sz w:val="20"/>
          <w:szCs w:val="20"/>
        </w:rPr>
        <w:t>I</w:t>
      </w:r>
      <w:r w:rsidRPr="00702EF9">
        <w:rPr>
          <w:rFonts w:ascii="Arial" w:hAnsi="Arial" w:cs="Arial"/>
          <w:sz w:val="20"/>
          <w:szCs w:val="20"/>
        </w:rPr>
        <w:t>nondations ».</w:t>
      </w:r>
    </w:p>
    <w:p w:rsidR="00CC7A99" w:rsidRPr="00702EF9" w:rsidRDefault="00CC7A99" w:rsidP="00810DA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Les dispositions de cette taxe sont codifiées à l’article 1530 bis du code général des impôts.</w:t>
      </w:r>
    </w:p>
    <w:p w:rsidR="00CC7A99" w:rsidRPr="00702EF9" w:rsidRDefault="00CC7A99" w:rsidP="00810DA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La taxe ne peut être supérieure aux coûts prévisionnels annuels d’exercice de la compétence (fonctionnement et investissement). </w:t>
      </w:r>
      <w:r>
        <w:rPr>
          <w:rFonts w:ascii="Arial" w:hAnsi="Arial" w:cs="Arial"/>
          <w:sz w:val="20"/>
          <w:szCs w:val="20"/>
        </w:rPr>
        <w:t>Le conseil communau</w:t>
      </w:r>
      <w:r w:rsidRPr="00702EF9">
        <w:rPr>
          <w:rFonts w:ascii="Arial" w:hAnsi="Arial" w:cs="Arial"/>
          <w:sz w:val="20"/>
          <w:szCs w:val="20"/>
        </w:rPr>
        <w:t>taire vote un produit attendu et non un taux.</w:t>
      </w:r>
    </w:p>
    <w:p w:rsidR="00CC7A99" w:rsidRPr="00702EF9" w:rsidRDefault="00CC7A99" w:rsidP="00810DA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Le montant </w:t>
      </w:r>
      <w:r>
        <w:rPr>
          <w:rFonts w:ascii="Arial" w:hAnsi="Arial" w:cs="Arial"/>
          <w:sz w:val="20"/>
          <w:szCs w:val="20"/>
        </w:rPr>
        <w:t xml:space="preserve">prévisionnel inscrit au budget primitif 2022, correspond </w:t>
      </w:r>
      <w:r w:rsidRPr="00702EF9">
        <w:rPr>
          <w:rFonts w:ascii="Arial" w:hAnsi="Arial" w:cs="Arial"/>
          <w:sz w:val="20"/>
          <w:szCs w:val="20"/>
        </w:rPr>
        <w:t>à :</w:t>
      </w:r>
    </w:p>
    <w:p w:rsidR="00CC7A99" w:rsidRPr="00702EF9" w:rsidRDefault="00CC7A99" w:rsidP="00810DA3">
      <w:pPr>
        <w:pStyle w:val="Paragraphedeliste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Dépenses totales de fonctionnement (travaux, salaires des deux postes de techniciens compris, adhésion aux syndicats, …) :  </w:t>
      </w:r>
      <w:r w:rsidRPr="00702EF9">
        <w:rPr>
          <w:rFonts w:ascii="Arial" w:hAnsi="Arial" w:cs="Arial"/>
          <w:b/>
          <w:sz w:val="20"/>
          <w:szCs w:val="20"/>
        </w:rPr>
        <w:t>775 365 euros</w:t>
      </w:r>
    </w:p>
    <w:p w:rsidR="00CC7A99" w:rsidRPr="00702EF9" w:rsidRDefault="00CC7A99" w:rsidP="00810DA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Correspondant aux </w:t>
      </w:r>
      <w:r>
        <w:rPr>
          <w:rFonts w:ascii="Arial" w:hAnsi="Arial" w:cs="Arial"/>
          <w:sz w:val="20"/>
          <w:szCs w:val="20"/>
        </w:rPr>
        <w:t>t</w:t>
      </w:r>
      <w:r w:rsidRPr="00702EF9">
        <w:rPr>
          <w:rFonts w:ascii="Arial" w:hAnsi="Arial" w:cs="Arial"/>
          <w:sz w:val="20"/>
          <w:szCs w:val="20"/>
        </w:rPr>
        <w:t xml:space="preserve">ravaux sur la Vire Amont solde tranche 4 et 5, tranches 1et 2 des travaux sur la Souleuvre, travaux de continuité écologique et sur le Noireau, travaux bocagers tranche 1 de lutte contre </w:t>
      </w:r>
      <w:proofErr w:type="gramStart"/>
      <w:r w:rsidRPr="00702EF9">
        <w:rPr>
          <w:rFonts w:ascii="Arial" w:hAnsi="Arial" w:cs="Arial"/>
          <w:sz w:val="20"/>
          <w:szCs w:val="20"/>
        </w:rPr>
        <w:t>l’érosion .</w:t>
      </w:r>
      <w:proofErr w:type="gramEnd"/>
    </w:p>
    <w:p w:rsidR="00CC7A99" w:rsidRPr="00311457" w:rsidRDefault="00CC7A99" w:rsidP="00810DA3">
      <w:pPr>
        <w:pStyle w:val="Paragraphedeliste"/>
        <w:numPr>
          <w:ilvl w:val="0"/>
          <w:numId w:val="15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311457">
        <w:rPr>
          <w:rFonts w:ascii="Arial" w:hAnsi="Arial" w:cs="Arial"/>
          <w:sz w:val="20"/>
          <w:szCs w:val="20"/>
        </w:rPr>
        <w:t xml:space="preserve">Recettes de fonctionnement (provenant de l’agence de l’eau et la Région) : </w:t>
      </w:r>
      <w:r w:rsidRPr="00311457">
        <w:rPr>
          <w:rFonts w:ascii="Arial" w:hAnsi="Arial" w:cs="Arial"/>
          <w:b/>
          <w:sz w:val="20"/>
          <w:szCs w:val="20"/>
        </w:rPr>
        <w:t>595 642 euros</w:t>
      </w:r>
      <w:r w:rsidRPr="00311457">
        <w:rPr>
          <w:rFonts w:ascii="Arial" w:hAnsi="Arial" w:cs="Arial"/>
          <w:sz w:val="20"/>
          <w:szCs w:val="20"/>
        </w:rPr>
        <w:t xml:space="preserve"> </w:t>
      </w:r>
    </w:p>
    <w:p w:rsidR="00CC7A99" w:rsidRPr="00702EF9" w:rsidRDefault="00CC7A99" w:rsidP="00810DA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Soit un solde à financer de </w:t>
      </w:r>
      <w:r w:rsidRPr="00702EF9">
        <w:rPr>
          <w:rFonts w:ascii="Arial" w:hAnsi="Arial" w:cs="Arial"/>
          <w:b/>
          <w:sz w:val="20"/>
          <w:szCs w:val="20"/>
        </w:rPr>
        <w:t>179 723 euros</w:t>
      </w:r>
      <w:r w:rsidRPr="00702EF9">
        <w:rPr>
          <w:rFonts w:ascii="Arial" w:hAnsi="Arial" w:cs="Arial"/>
          <w:sz w:val="20"/>
          <w:szCs w:val="20"/>
        </w:rPr>
        <w:t>.</w:t>
      </w:r>
    </w:p>
    <w:p w:rsidR="00CC7A99" w:rsidRPr="00702EF9" w:rsidRDefault="00CC7A99" w:rsidP="00810DA3">
      <w:pPr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Le calcul de la taxe GEMAPI s’opère de la façon suivante :</w:t>
      </w:r>
    </w:p>
    <w:p w:rsidR="00CC7A99" w:rsidRPr="00702EF9" w:rsidRDefault="00CC7A99" w:rsidP="00810DA3">
      <w:pPr>
        <w:pStyle w:val="Paragraphedeliste"/>
        <w:numPr>
          <w:ilvl w:val="0"/>
          <w:numId w:val="14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La collectivité vote un montant de produit, selon les règles de détermination du besoin ci-dessus.</w:t>
      </w:r>
    </w:p>
    <w:p w:rsidR="00CC7A99" w:rsidRPr="00702EF9" w:rsidRDefault="00CC7A99" w:rsidP="00810DA3">
      <w:pPr>
        <w:pStyle w:val="Paragraphedeliste"/>
        <w:numPr>
          <w:ilvl w:val="0"/>
          <w:numId w:val="14"/>
        </w:numPr>
        <w:spacing w:after="16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L’administration fiscale répartit ce montant sur les 4 taxes (foncier bâti, foncier non bâti, taxe d’habitation et </w:t>
      </w:r>
      <w:r>
        <w:rPr>
          <w:rFonts w:ascii="Arial" w:hAnsi="Arial" w:cs="Arial"/>
          <w:sz w:val="20"/>
          <w:szCs w:val="20"/>
        </w:rPr>
        <w:t>cotisation foncière des entreprises)</w:t>
      </w:r>
      <w:r w:rsidRPr="00702EF9">
        <w:rPr>
          <w:rFonts w:ascii="Arial" w:hAnsi="Arial" w:cs="Arial"/>
          <w:sz w:val="20"/>
          <w:szCs w:val="20"/>
        </w:rPr>
        <w:t xml:space="preserve"> proportionnellement aux recettes que ces taxes ont procuré l’année précédente sur le territoire de l’EPCI</w:t>
      </w:r>
      <w:r>
        <w:rPr>
          <w:rFonts w:ascii="Arial" w:hAnsi="Arial" w:cs="Arial"/>
          <w:sz w:val="20"/>
          <w:szCs w:val="20"/>
        </w:rPr>
        <w:t xml:space="preserve"> (Etablissement Public de Coopération Intercommunale)</w:t>
      </w:r>
      <w:r w:rsidRPr="00702EF9">
        <w:rPr>
          <w:rFonts w:ascii="Arial" w:hAnsi="Arial" w:cs="Arial"/>
          <w:sz w:val="20"/>
          <w:szCs w:val="20"/>
        </w:rPr>
        <w:t>.</w:t>
      </w:r>
    </w:p>
    <w:p w:rsidR="00CC7A99" w:rsidRPr="00702EF9" w:rsidRDefault="00CC7A99" w:rsidP="00CC7A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Ainsi, il est déterminé un taux additionnel identique par taxe pour chaque commune de l’EPCI, générant des variations en pourcentage et en montant différents.</w:t>
      </w:r>
    </w:p>
    <w:p w:rsidR="00CC7A99" w:rsidRPr="00702EF9" w:rsidRDefault="00CC7A99" w:rsidP="00CC7A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Vu le Code général des collectivités territoriales,  </w:t>
      </w:r>
    </w:p>
    <w:p w:rsidR="00CC7A99" w:rsidRPr="00702EF9" w:rsidRDefault="00CC7A99" w:rsidP="00CC7A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 xml:space="preserve">Vu le code général des impôts et notamment ses articles 1530 bis et 1639 A, </w:t>
      </w:r>
    </w:p>
    <w:p w:rsidR="00CC7A99" w:rsidRPr="00702EF9" w:rsidRDefault="00CC7A99" w:rsidP="00CC7A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Vu l</w:t>
      </w:r>
      <w:r>
        <w:rPr>
          <w:rFonts w:ascii="Arial" w:hAnsi="Arial" w:cs="Arial"/>
          <w:sz w:val="20"/>
          <w:szCs w:val="20"/>
        </w:rPr>
        <w:t xml:space="preserve">es </w:t>
      </w:r>
      <w:r w:rsidRPr="00702EF9">
        <w:rPr>
          <w:rFonts w:ascii="Arial" w:hAnsi="Arial" w:cs="Arial"/>
          <w:sz w:val="20"/>
          <w:szCs w:val="20"/>
        </w:rPr>
        <w:t>avis</w:t>
      </w:r>
      <w:r>
        <w:rPr>
          <w:rFonts w:ascii="Arial" w:hAnsi="Arial" w:cs="Arial"/>
          <w:sz w:val="20"/>
          <w:szCs w:val="20"/>
        </w:rPr>
        <w:t xml:space="preserve"> favorables</w:t>
      </w:r>
      <w:r w:rsidRPr="00702EF9">
        <w:rPr>
          <w:rFonts w:ascii="Arial" w:hAnsi="Arial" w:cs="Arial"/>
          <w:sz w:val="20"/>
          <w:szCs w:val="20"/>
        </w:rPr>
        <w:t xml:space="preserve"> de la commission finances </w:t>
      </w:r>
      <w:r>
        <w:rPr>
          <w:rFonts w:ascii="Arial" w:hAnsi="Arial" w:cs="Arial"/>
          <w:sz w:val="20"/>
          <w:szCs w:val="20"/>
        </w:rPr>
        <w:t>réunie le</w:t>
      </w:r>
      <w:r w:rsidRPr="00702E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16 mars 2022 et du B</w:t>
      </w:r>
      <w:r w:rsidRPr="00702EF9">
        <w:rPr>
          <w:rFonts w:ascii="Arial" w:hAnsi="Arial" w:cs="Arial"/>
          <w:sz w:val="20"/>
          <w:szCs w:val="20"/>
        </w:rPr>
        <w:t xml:space="preserve">ureau communautaire </w:t>
      </w:r>
      <w:r>
        <w:rPr>
          <w:rFonts w:ascii="Arial" w:hAnsi="Arial" w:cs="Arial"/>
          <w:sz w:val="20"/>
          <w:szCs w:val="20"/>
        </w:rPr>
        <w:t>réuni le</w:t>
      </w:r>
      <w:r w:rsidRPr="00702EF9">
        <w:rPr>
          <w:rFonts w:ascii="Arial" w:hAnsi="Arial" w:cs="Arial"/>
          <w:sz w:val="20"/>
          <w:szCs w:val="20"/>
        </w:rPr>
        <w:t xml:space="preserve"> 21 mars 2022,</w:t>
      </w:r>
    </w:p>
    <w:p w:rsidR="00CC7A99" w:rsidRDefault="00CC7A99" w:rsidP="00CC7A99">
      <w:pPr>
        <w:jc w:val="both"/>
        <w:rPr>
          <w:rFonts w:ascii="Arial" w:hAnsi="Arial" w:cs="Arial"/>
          <w:sz w:val="20"/>
          <w:szCs w:val="20"/>
        </w:rPr>
      </w:pPr>
      <w:r w:rsidRPr="00702EF9">
        <w:rPr>
          <w:rFonts w:ascii="Arial" w:hAnsi="Arial" w:cs="Arial"/>
          <w:sz w:val="20"/>
          <w:szCs w:val="20"/>
        </w:rPr>
        <w:t>Considérant que le produit attendu de la taxe GEMAP</w:t>
      </w:r>
      <w:r w:rsidR="00810DA3">
        <w:rPr>
          <w:rFonts w:ascii="Arial" w:hAnsi="Arial" w:cs="Arial"/>
          <w:sz w:val="20"/>
          <w:szCs w:val="20"/>
        </w:rPr>
        <w:t>I</w:t>
      </w:r>
      <w:r w:rsidRPr="00702EF9">
        <w:rPr>
          <w:rFonts w:ascii="Arial" w:hAnsi="Arial" w:cs="Arial"/>
          <w:sz w:val="20"/>
          <w:szCs w:val="20"/>
        </w:rPr>
        <w:t xml:space="preserve"> </w:t>
      </w:r>
      <w:r w:rsidRPr="00883553">
        <w:rPr>
          <w:rFonts w:ascii="Arial" w:hAnsi="Arial" w:cs="Arial"/>
          <w:sz w:val="20"/>
          <w:szCs w:val="20"/>
          <w:u w:val="single"/>
        </w:rPr>
        <w:t>pour l’année 2022 est fixé à 160 000</w:t>
      </w:r>
      <w:r w:rsidRPr="00702EF9">
        <w:rPr>
          <w:rFonts w:ascii="Arial" w:hAnsi="Arial" w:cs="Arial"/>
          <w:sz w:val="20"/>
          <w:szCs w:val="20"/>
        </w:rPr>
        <w:t xml:space="preserve"> euros </w:t>
      </w:r>
    </w:p>
    <w:p w:rsidR="00CC7A99" w:rsidRPr="00702EF9" w:rsidRDefault="00CC7A99" w:rsidP="00CC7A9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02EF9">
        <w:rPr>
          <w:rFonts w:ascii="Arial" w:hAnsi="Arial" w:cs="Arial"/>
          <w:sz w:val="20"/>
          <w:szCs w:val="20"/>
        </w:rPr>
        <w:t>réparti</w:t>
      </w:r>
      <w:proofErr w:type="gramEnd"/>
      <w:r w:rsidRPr="00702EF9">
        <w:rPr>
          <w:rFonts w:ascii="Arial" w:hAnsi="Arial" w:cs="Arial"/>
          <w:sz w:val="20"/>
          <w:szCs w:val="20"/>
        </w:rPr>
        <w:t xml:space="preserve"> entre toutes les personnes physiques ou morales assujettis aux taxes foncières sur les propriétés bâties et non bâties, à la taxe d’habitation restant et sur les</w:t>
      </w:r>
      <w:r>
        <w:rPr>
          <w:rFonts w:ascii="Arial" w:hAnsi="Arial" w:cs="Arial"/>
          <w:sz w:val="20"/>
          <w:szCs w:val="20"/>
        </w:rPr>
        <w:t xml:space="preserve"> résidences secondaires, et à l</w:t>
      </w:r>
      <w:r w:rsidRPr="00702EF9">
        <w:rPr>
          <w:rFonts w:ascii="Arial" w:hAnsi="Arial" w:cs="Arial"/>
          <w:sz w:val="20"/>
          <w:szCs w:val="20"/>
        </w:rPr>
        <w:t>a cotisation foncière des entreprises, proportionnellement aux recettes que chacune de ces taxes procure.</w:t>
      </w:r>
    </w:p>
    <w:p w:rsidR="00CC7A99" w:rsidRPr="00883553" w:rsidRDefault="00CC7A99" w:rsidP="00810DA3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83553">
        <w:rPr>
          <w:rFonts w:ascii="Arial" w:hAnsi="Arial" w:cs="Arial"/>
          <w:b/>
          <w:sz w:val="20"/>
          <w:szCs w:val="20"/>
        </w:rPr>
        <w:t>Il est ainsi demandé au Conseil communautaire de bien vouloir</w:t>
      </w:r>
      <w:r w:rsidR="00471288">
        <w:rPr>
          <w:rFonts w:ascii="Arial" w:hAnsi="Arial" w:cs="Arial"/>
          <w:b/>
          <w:sz w:val="20"/>
          <w:szCs w:val="20"/>
        </w:rPr>
        <w:t xml:space="preserve"> </w:t>
      </w:r>
      <w:r w:rsidRPr="00883553">
        <w:rPr>
          <w:rFonts w:ascii="Arial" w:hAnsi="Arial" w:cs="Arial"/>
          <w:b/>
          <w:sz w:val="20"/>
          <w:szCs w:val="20"/>
        </w:rPr>
        <w:t xml:space="preserve">arrêter et voter le produit attendu pour cette taxe à 160 000 euros pour l’année 2022. </w:t>
      </w:r>
    </w:p>
    <w:p w:rsidR="004F52C3" w:rsidRPr="000E1762" w:rsidRDefault="004F52C3" w:rsidP="00676121">
      <w:pPr>
        <w:spacing w:before="120"/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471288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71288" w:rsidRPr="003346E0" w:rsidRDefault="00471288" w:rsidP="00471288">
      <w:pPr>
        <w:ind w:right="-2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471288" w:rsidTr="00AC2E7E">
        <w:tc>
          <w:tcPr>
            <w:tcW w:w="9210" w:type="dxa"/>
            <w:gridSpan w:val="6"/>
          </w:tcPr>
          <w:p w:rsidR="00471288" w:rsidRDefault="00471288" w:rsidP="00AC2E7E">
            <w:pPr>
              <w:ind w:right="-2"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471288" w:rsidRPr="003346E0" w:rsidTr="00AC2E7E">
        <w:tc>
          <w:tcPr>
            <w:tcW w:w="9210" w:type="dxa"/>
            <w:gridSpan w:val="6"/>
          </w:tcPr>
          <w:p w:rsidR="00471288" w:rsidRPr="003346E0" w:rsidRDefault="00471288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1288" w:rsidTr="00AC2E7E">
        <w:tc>
          <w:tcPr>
            <w:tcW w:w="1535" w:type="dxa"/>
          </w:tcPr>
          <w:p w:rsidR="00471288" w:rsidRDefault="00471288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471288" w:rsidRPr="009719AB" w:rsidRDefault="00471288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535" w:type="dxa"/>
          </w:tcPr>
          <w:p w:rsidR="00471288" w:rsidRDefault="00471288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471288" w:rsidRPr="009719AB" w:rsidRDefault="00471288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471288" w:rsidRDefault="00471288" w:rsidP="00AC2E7E">
            <w:pPr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471288" w:rsidRPr="009719AB" w:rsidRDefault="00471288" w:rsidP="00AC2E7E">
            <w:pPr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471288" w:rsidRPr="003346E0" w:rsidTr="00AC2E7E">
        <w:tc>
          <w:tcPr>
            <w:tcW w:w="9210" w:type="dxa"/>
            <w:gridSpan w:val="6"/>
          </w:tcPr>
          <w:p w:rsidR="00471288" w:rsidRPr="003346E0" w:rsidRDefault="00471288" w:rsidP="00AC2E7E">
            <w:pPr>
              <w:ind w:right="-2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71288" w:rsidTr="00AC2E7E">
        <w:tc>
          <w:tcPr>
            <w:tcW w:w="9210" w:type="dxa"/>
            <w:gridSpan w:val="6"/>
          </w:tcPr>
          <w:p w:rsidR="00471288" w:rsidRPr="009719AB" w:rsidRDefault="00471288" w:rsidP="00471288">
            <w:pPr>
              <w:tabs>
                <w:tab w:val="left" w:pos="2977"/>
              </w:tabs>
              <w:ind w:right="-2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aseACocher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</w:r>
            <w:r w:rsidR="00C52E2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471288" w:rsidRPr="00A7575A" w:rsidRDefault="00471288" w:rsidP="00471288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3BB" w:rsidRDefault="001D33BB">
      <w:r>
        <w:separator/>
      </w:r>
    </w:p>
  </w:endnote>
  <w:endnote w:type="continuationSeparator" w:id="0">
    <w:p w:rsidR="001D33BB" w:rsidRDefault="001D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C52E22">
      <w:rPr>
        <w:b/>
        <w:noProof/>
      </w:rPr>
      <w:t>1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C52E22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3BB" w:rsidRDefault="001D33BB">
      <w:r>
        <w:separator/>
      </w:r>
    </w:p>
  </w:footnote>
  <w:footnote w:type="continuationSeparator" w:id="0">
    <w:p w:rsidR="001D33BB" w:rsidRDefault="001D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F56497">
      <w:rPr>
        <w:rFonts w:ascii="Arial" w:hAnsi="Arial" w:cs="Arial"/>
        <w:b/>
        <w:sz w:val="32"/>
        <w:szCs w:val="32"/>
      </w:rPr>
      <w:t>3</w:t>
    </w:r>
    <w:r w:rsidR="00623911">
      <w:rPr>
        <w:rFonts w:ascii="Arial" w:hAnsi="Arial" w:cs="Arial"/>
        <w:b/>
        <w:sz w:val="32"/>
        <w:szCs w:val="32"/>
      </w:rPr>
      <w:t>-</w:t>
    </w:r>
    <w:r w:rsidR="00CC7A99">
      <w:rPr>
        <w:rFonts w:ascii="Arial" w:hAnsi="Arial" w:cs="Arial"/>
        <w:b/>
        <w:sz w:val="32"/>
        <w:szCs w:val="32"/>
      </w:rPr>
      <w:t>6</w:t>
    </w:r>
    <w:r w:rsidR="00C03A00">
      <w:rPr>
        <w:rFonts w:ascii="Arial" w:hAnsi="Arial" w:cs="Arial"/>
        <w:b/>
        <w:sz w:val="32"/>
        <w:szCs w:val="32"/>
      </w:rPr>
      <w:t>d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1DED"/>
    <w:multiLevelType w:val="hybridMultilevel"/>
    <w:tmpl w:val="45F0554E"/>
    <w:lvl w:ilvl="0" w:tplc="D0084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A4480"/>
    <w:multiLevelType w:val="hybridMultilevel"/>
    <w:tmpl w:val="D4487BD2"/>
    <w:lvl w:ilvl="0" w:tplc="D174E6B2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D33C3"/>
    <w:multiLevelType w:val="hybridMultilevel"/>
    <w:tmpl w:val="BF20CD2C"/>
    <w:lvl w:ilvl="0" w:tplc="308262D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17CF2"/>
    <w:multiLevelType w:val="hybridMultilevel"/>
    <w:tmpl w:val="39E22700"/>
    <w:lvl w:ilvl="0" w:tplc="CDAA8C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3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4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BB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0F44"/>
    <w:rsid w:val="000712F5"/>
    <w:rsid w:val="00075C01"/>
    <w:rsid w:val="0009452E"/>
    <w:rsid w:val="000A2430"/>
    <w:rsid w:val="000B3330"/>
    <w:rsid w:val="000D2225"/>
    <w:rsid w:val="000E1762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33BB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71288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76121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0DA3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94C70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03A00"/>
    <w:rsid w:val="00C23BEE"/>
    <w:rsid w:val="00C50B2E"/>
    <w:rsid w:val="00C52E22"/>
    <w:rsid w:val="00C82CBC"/>
    <w:rsid w:val="00C86D0E"/>
    <w:rsid w:val="00C92897"/>
    <w:rsid w:val="00C92A4B"/>
    <w:rsid w:val="00CA7EE5"/>
    <w:rsid w:val="00CB1694"/>
    <w:rsid w:val="00CC7A99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56497"/>
    <w:rsid w:val="00F60A16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3F4ECEE-94F4-4DF5-8363-9CB32D66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CC7A99"/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CC7A99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C7A99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3-31%2003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C0416FF994426A2E0C525D4E98A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9687D-F2C7-4BF8-97FA-7D468F8F020F}"/>
      </w:docPartPr>
      <w:docPartBody>
        <w:p w:rsidR="007B6E2C" w:rsidRDefault="007B6E2C">
          <w:pPr>
            <w:pStyle w:val="475C0416FF994426A2E0C525D4E98AB2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577DECCF5746DCBF40BC73AA33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2537F3-31FE-4377-A420-4A0A828D5E14}"/>
      </w:docPartPr>
      <w:docPartBody>
        <w:p w:rsidR="007B6E2C" w:rsidRDefault="007B6E2C">
          <w:pPr>
            <w:pStyle w:val="A8577DECCF5746DCBF40BC73AA333F33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2C"/>
    <w:rsid w:val="007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75C0416FF994426A2E0C525D4E98AB2">
    <w:name w:val="475C0416FF994426A2E0C525D4E98AB2"/>
  </w:style>
  <w:style w:type="paragraph" w:customStyle="1" w:styleId="A8577DECCF5746DCBF40BC73AA333F33">
    <w:name w:val="A8577DECCF5746DCBF40BC73AA333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249-E644-424E-A69B-0590F7541091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5FED90-1654-4A9C-83B5-0B468C9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17</TotalTime>
  <Pages>4</Pages>
  <Words>1272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9</cp:revision>
  <cp:lastPrinted>2022-04-06T12:20:00Z</cp:lastPrinted>
  <dcterms:created xsi:type="dcterms:W3CDTF">2022-03-28T07:18:00Z</dcterms:created>
  <dcterms:modified xsi:type="dcterms:W3CDTF">2022-04-06T12:21:00Z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