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861BA" w:rsidRPr="00D64356" w:rsidRDefault="00C861BA" w:rsidP="00C861BA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C861BA" w:rsidRPr="00D64356" w:rsidRDefault="00C861BA" w:rsidP="00C861BA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48</w:t>
            </w:r>
          </w:p>
          <w:p w:rsidR="00C861BA" w:rsidRPr="00D64356" w:rsidRDefault="00C861BA" w:rsidP="00C861BA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6</w:t>
            </w:r>
          </w:p>
          <w:p w:rsidR="00C861BA" w:rsidRPr="00D64356" w:rsidRDefault="00C861BA" w:rsidP="00C861BA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4</w:t>
            </w:r>
          </w:p>
          <w:p w:rsidR="00D278EF" w:rsidRDefault="00C861BA" w:rsidP="00C861BA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295C6E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janvier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6A2700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B11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6A2700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ABE3A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295C6E">
              <w:rPr>
                <w:b/>
                <w:sz w:val="20"/>
              </w:rPr>
              <w:t>27 Janvier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295C6E">
              <w:t>27 janvier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en salle </w:t>
            </w:r>
            <w:r w:rsidR="00295C6E">
              <w:t>municipale du Vaudeville à Vire</w:t>
            </w:r>
            <w:r w:rsidR="003B1CFC">
              <w:t xml:space="preserve">, </w:t>
            </w:r>
            <w:r w:rsidR="00295C6E">
              <w:t>lieu choisi afin de pouvoir respecter les préconisations sanitaires liées à la pandémie de la Covid-19</w:t>
            </w:r>
            <w:r w:rsidR="000301AA">
              <w:t>, sous la présidence de</w:t>
            </w:r>
            <w:r w:rsidR="003B1CFC">
              <w:t xml:space="preserve"> 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295C6E">
              <w:t>21 janvier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295C6E">
              <w:t>21 janvier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C861BA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M. Corentin GOETHALS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 xml:space="preserve">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C4632E66BC1F4404A993052474321E24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E53C03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4 - Fonction Publique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C4632E66BC1F4404A993052474321E24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E53C03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4.1 - Personnel titulaires et stagiaires de la Fonction Publique Territoriale (F.P.T.)</w:t>
                </w:r>
              </w:p>
            </w:sdtContent>
          </w:sdt>
          <w:sdt>
            <w:sdtPr>
              <w:rPr>
                <w:rStyle w:val="Style8"/>
              </w:rPr>
              <w:id w:val="-351725212"/>
              <w:placeholder>
                <w:docPart w:val="1E47825FC975481A92F0851E5AABC1BF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E53C03" w:rsidRDefault="00E53C03" w:rsidP="00E53C03">
                <w:pPr>
                  <w:rPr>
                    <w:rStyle w:val="Style8"/>
                  </w:rPr>
                </w:pPr>
                <w:r>
                  <w:rPr>
                    <w:rStyle w:val="Style8"/>
                  </w:rPr>
                  <w:t>4.2 - Personnel contractuel</w:t>
                </w:r>
              </w:p>
            </w:sdtContent>
          </w:sdt>
          <w:p w:rsidR="00E53C03" w:rsidRPr="00E53C03" w:rsidRDefault="00E53C03" w:rsidP="00B0296E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B029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B0296E" w:rsidRPr="00B0296E">
              <w:rPr>
                <w:rFonts w:ascii="Arial" w:hAnsi="Arial" w:cs="Arial"/>
                <w:b/>
                <w:sz w:val="20"/>
                <w:szCs w:val="20"/>
              </w:rPr>
              <w:t>Modification des critères concernant les titres restaurant</w:t>
            </w:r>
          </w:p>
        </w:tc>
      </w:tr>
    </w:tbl>
    <w:p w:rsidR="00C861BA" w:rsidRPr="00C861BA" w:rsidRDefault="00C861BA" w:rsidP="00C861BA">
      <w:pPr>
        <w:ind w:right="-851"/>
        <w:jc w:val="both"/>
        <w:rPr>
          <w:rFonts w:ascii="Arial" w:hAnsi="Arial" w:cs="Arial"/>
          <w:sz w:val="12"/>
          <w:szCs w:val="12"/>
        </w:rPr>
      </w:pPr>
    </w:p>
    <w:tbl>
      <w:tblPr>
        <w:tblW w:w="998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8"/>
        <w:gridCol w:w="901"/>
        <w:gridCol w:w="1900"/>
        <w:gridCol w:w="2320"/>
        <w:gridCol w:w="1140"/>
        <w:gridCol w:w="851"/>
      </w:tblGrid>
      <w:tr w:rsidR="00C861BA" w:rsidTr="00E33768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C861BA" w:rsidTr="00E33768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61BA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195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C861BA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12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C861BA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14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C861BA" w:rsidTr="00E33768">
        <w:trPr>
          <w:trHeight w:val="27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C861BA" w:rsidTr="00E33768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61BA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195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7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116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14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164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C861BA" w:rsidTr="00E33768">
        <w:trPr>
          <w:trHeight w:val="22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12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4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154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C861BA" w:rsidTr="00E33768">
        <w:trPr>
          <w:trHeight w:val="307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21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C861BA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Denis JOUAULT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236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C861BA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10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C861BA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15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C861BA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31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Eric MARTIN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C861BA" w:rsidTr="00E33768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61BA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18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Caroline CHANU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17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Corentin GOETHALS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Serge COUASNON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272"/>
        </w:trPr>
        <w:tc>
          <w:tcPr>
            <w:tcW w:w="2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61BA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BA" w:rsidRDefault="00C861BA" w:rsidP="00E33768">
            <w:pPr>
              <w:rPr>
                <w:sz w:val="20"/>
                <w:szCs w:val="20"/>
              </w:rPr>
            </w:pPr>
          </w:p>
        </w:tc>
      </w:tr>
      <w:tr w:rsidR="00C861BA" w:rsidTr="00E33768">
        <w:trPr>
          <w:trHeight w:val="156"/>
        </w:trPr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861BA" w:rsidTr="00E33768">
        <w:trPr>
          <w:trHeight w:val="182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C861BA" w:rsidTr="00E33768">
        <w:trPr>
          <w:trHeight w:val="262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C861BA" w:rsidTr="00E33768">
        <w:trPr>
          <w:trHeight w:val="1413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  <w:t xml:space="preserve">V de l'article 10 de la Loi n°2021-1465 du 10 novembre 2021) 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C861BA" w:rsidTr="00E33768">
        <w:trPr>
          <w:trHeight w:val="1588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61BA" w:rsidRDefault="00C861BA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</w:tbl>
    <w:p w:rsidR="00014AE9" w:rsidRPr="00F60A16" w:rsidRDefault="008E7459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26AC080C7C98475F98BE8F3E21CFCF6E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B0296E">
            <w:rPr>
              <w:rFonts w:ascii="Arial" w:hAnsi="Arial" w:cs="Arial"/>
              <w:b/>
              <w:sz w:val="20"/>
            </w:rPr>
            <w:t>M. Gilles FAUCON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E53C03" w:rsidRDefault="00014AE9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p w:rsidR="00B0296E" w:rsidRPr="006668CD" w:rsidRDefault="00B0296E" w:rsidP="00B029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668CD">
        <w:rPr>
          <w:rFonts w:ascii="Arial" w:hAnsi="Arial" w:cs="Arial"/>
          <w:sz w:val="20"/>
          <w:szCs w:val="20"/>
        </w:rPr>
        <w:t>La délibération du 30 janvier 2020 mettant en place les titres restaurant sur l’Intercom de la Vire au Noireau comporte un critère d’ancienneté de 6 mois minimum avant de pouvoir bénéficier de cet avantage.</w:t>
      </w:r>
    </w:p>
    <w:p w:rsidR="00B0296E" w:rsidRPr="006668CD" w:rsidRDefault="00B0296E" w:rsidP="00B029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668CD">
        <w:rPr>
          <w:rFonts w:ascii="Arial" w:hAnsi="Arial" w:cs="Arial"/>
          <w:sz w:val="20"/>
          <w:szCs w:val="20"/>
        </w:rPr>
        <w:t>Le titre restaurant est un titre spécial de paiement, c’est un moyen de paiement « affecté », c'est-à-dire qu'il ne peut être utilisé que pour payer des produits alimentaires dans les restaurants, la grande et la petite distribution.</w:t>
      </w:r>
    </w:p>
    <w:p w:rsidR="00B0296E" w:rsidRPr="006668CD" w:rsidRDefault="00B0296E" w:rsidP="00B029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68CD">
        <w:rPr>
          <w:rFonts w:ascii="Arial" w:hAnsi="Arial" w:cs="Arial"/>
          <w:sz w:val="20"/>
          <w:szCs w:val="20"/>
        </w:rPr>
        <w:t xml:space="preserve">L’attribution des titres restaurants se fait auprès des agents qui en font la demande qu’ils soient sur emplois permanents et non permanents (titulaires, stagiaires avant titularisation, contractuels pour plus de 6 mois, agents en contrat à durée indéterminée, vacataires de plus de 6 mois d’ancienneté, stagiaires de l’enseignement gratifiés qui effectuent plus de 6 mois de stage, les contrats aidés embauchés pour plus de 6 mois et les apprentis embauchés pour plus de 6 mois…). </w:t>
      </w:r>
    </w:p>
    <w:p w:rsidR="00B0296E" w:rsidRPr="006668CD" w:rsidRDefault="00B0296E" w:rsidP="00B029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68CD">
        <w:rPr>
          <w:rFonts w:ascii="Arial" w:hAnsi="Arial" w:cs="Arial"/>
          <w:sz w:val="20"/>
          <w:szCs w:val="20"/>
        </w:rPr>
        <w:t>La participation de la collectivité est de 50% des tickets restaurants à hauteur de 2</w:t>
      </w:r>
      <w:r>
        <w:rPr>
          <w:rFonts w:ascii="Arial" w:hAnsi="Arial" w:cs="Arial"/>
          <w:sz w:val="20"/>
          <w:szCs w:val="20"/>
        </w:rPr>
        <w:t>,</w:t>
      </w:r>
      <w:r w:rsidRPr="006668C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 </w:t>
      </w:r>
      <w:r w:rsidRPr="006668CD">
        <w:rPr>
          <w:rFonts w:ascii="Arial" w:hAnsi="Arial" w:cs="Arial"/>
          <w:sz w:val="20"/>
          <w:szCs w:val="20"/>
        </w:rPr>
        <w:t>€ de participation de la structure</w:t>
      </w:r>
      <w:r>
        <w:rPr>
          <w:rFonts w:ascii="Arial" w:hAnsi="Arial" w:cs="Arial"/>
          <w:sz w:val="20"/>
          <w:szCs w:val="20"/>
        </w:rPr>
        <w:t xml:space="preserve"> et de 2,</w:t>
      </w:r>
      <w:r w:rsidRPr="006668C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 </w:t>
      </w:r>
      <w:r w:rsidRPr="006668CD">
        <w:rPr>
          <w:rFonts w:ascii="Arial" w:hAnsi="Arial" w:cs="Arial"/>
          <w:sz w:val="20"/>
          <w:szCs w:val="20"/>
        </w:rPr>
        <w:t xml:space="preserve">€ par agent. </w:t>
      </w:r>
    </w:p>
    <w:p w:rsidR="00B0296E" w:rsidRPr="006668CD" w:rsidRDefault="00B0296E" w:rsidP="00B0296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B0296E" w:rsidRPr="006668CD" w:rsidRDefault="00B0296E" w:rsidP="00B0296E">
      <w:pPr>
        <w:jc w:val="both"/>
        <w:rPr>
          <w:rFonts w:ascii="Arial" w:hAnsi="Arial" w:cs="Arial"/>
          <w:sz w:val="20"/>
          <w:szCs w:val="20"/>
        </w:rPr>
      </w:pPr>
      <w:r w:rsidRPr="006668CD">
        <w:rPr>
          <w:rFonts w:ascii="Arial" w:hAnsi="Arial" w:cs="Arial"/>
          <w:sz w:val="20"/>
          <w:szCs w:val="20"/>
        </w:rPr>
        <w:t xml:space="preserve">Il est proposé de mettre fin au critère des 6 mois d’ancienneté pour les emplois </w:t>
      </w:r>
      <w:r>
        <w:rPr>
          <w:rFonts w:ascii="Arial" w:hAnsi="Arial" w:cs="Arial"/>
          <w:sz w:val="20"/>
          <w:szCs w:val="20"/>
        </w:rPr>
        <w:t>permanents (titulaires) et non permanents (</w:t>
      </w:r>
      <w:r w:rsidRPr="006668CD">
        <w:rPr>
          <w:rFonts w:ascii="Arial" w:hAnsi="Arial" w:cs="Arial"/>
          <w:sz w:val="20"/>
          <w:szCs w:val="20"/>
        </w:rPr>
        <w:t>contractuels</w:t>
      </w:r>
      <w:r>
        <w:rPr>
          <w:rFonts w:ascii="Arial" w:hAnsi="Arial" w:cs="Arial"/>
          <w:sz w:val="20"/>
          <w:szCs w:val="20"/>
        </w:rPr>
        <w:t>)</w:t>
      </w:r>
      <w:r w:rsidRPr="006668CD">
        <w:rPr>
          <w:rFonts w:ascii="Arial" w:hAnsi="Arial" w:cs="Arial"/>
          <w:sz w:val="20"/>
          <w:szCs w:val="20"/>
        </w:rPr>
        <w:t>. Cette clause serait maintenue pour les emplois saisonniers qui n’effectuent qu’un contrat d’un ou deux mois maximum.</w:t>
      </w:r>
    </w:p>
    <w:p w:rsidR="00B0296E" w:rsidRPr="006668CD" w:rsidRDefault="00B0296E" w:rsidP="00E53C03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668CD">
        <w:rPr>
          <w:rFonts w:ascii="Arial" w:hAnsi="Arial" w:cs="Arial"/>
          <w:b/>
          <w:bCs/>
          <w:sz w:val="20"/>
          <w:szCs w:val="20"/>
        </w:rPr>
        <w:t>Suivant l’avis favorable du Bureau communautaire réuni le 10 janvier 2022, il est proposé au Conseil Communautaire, après en avoir délibéré, de décider de</w:t>
      </w:r>
      <w:r w:rsidRPr="006668CD">
        <w:rPr>
          <w:rFonts w:ascii="Arial" w:hAnsi="Arial" w:cs="Arial"/>
          <w:b/>
          <w:sz w:val="20"/>
          <w:szCs w:val="20"/>
        </w:rPr>
        <w:t xml:space="preserve"> supprimer le critère des 6 mois d’ancienneté pour les emplois de contractuels. Cette clause serait maintenue pour les emplois saisonniers qui n’effectuent qu’un contrat d’un ou deux mois maximum.</w:t>
      </w:r>
    </w:p>
    <w:p w:rsidR="004F52C3" w:rsidRDefault="004F52C3" w:rsidP="001B0BDC">
      <w:pPr>
        <w:ind w:right="-29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C861BA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861BA" w:rsidRPr="003346E0" w:rsidRDefault="00C861BA" w:rsidP="00C861BA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C861BA" w:rsidTr="00E33768">
        <w:tc>
          <w:tcPr>
            <w:tcW w:w="9210" w:type="dxa"/>
            <w:gridSpan w:val="6"/>
          </w:tcPr>
          <w:p w:rsidR="00C861BA" w:rsidRDefault="00C861BA" w:rsidP="00E33768">
            <w:pPr>
              <w:ind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861BA" w:rsidRPr="003346E0" w:rsidTr="00E33768">
        <w:tc>
          <w:tcPr>
            <w:tcW w:w="9210" w:type="dxa"/>
            <w:gridSpan w:val="6"/>
          </w:tcPr>
          <w:p w:rsidR="00C861BA" w:rsidRPr="003346E0" w:rsidRDefault="00C861BA" w:rsidP="00E3376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861BA" w:rsidTr="00E33768">
        <w:tc>
          <w:tcPr>
            <w:tcW w:w="1535" w:type="dxa"/>
          </w:tcPr>
          <w:p w:rsidR="00C861BA" w:rsidRDefault="00C861BA" w:rsidP="00E3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C861BA" w:rsidRPr="009719AB" w:rsidRDefault="00C861BA" w:rsidP="00E3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535" w:type="dxa"/>
          </w:tcPr>
          <w:p w:rsidR="00C861BA" w:rsidRDefault="00C861BA" w:rsidP="00E3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C861BA" w:rsidRPr="009719AB" w:rsidRDefault="00C861BA" w:rsidP="00E3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C861BA" w:rsidRDefault="00C861BA" w:rsidP="00E3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C861BA" w:rsidRPr="009719AB" w:rsidRDefault="00C861BA" w:rsidP="00E3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861BA" w:rsidRPr="003346E0" w:rsidTr="00E33768">
        <w:tc>
          <w:tcPr>
            <w:tcW w:w="9210" w:type="dxa"/>
            <w:gridSpan w:val="6"/>
          </w:tcPr>
          <w:p w:rsidR="00C861BA" w:rsidRPr="003346E0" w:rsidRDefault="00C861BA" w:rsidP="00E3376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861BA" w:rsidTr="00E33768">
        <w:tc>
          <w:tcPr>
            <w:tcW w:w="9210" w:type="dxa"/>
            <w:gridSpan w:val="6"/>
          </w:tcPr>
          <w:p w:rsidR="00C861BA" w:rsidRPr="009719AB" w:rsidRDefault="00C861BA" w:rsidP="00E33768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C861BA" w:rsidRPr="00A7575A" w:rsidRDefault="00C861BA" w:rsidP="00C861BA">
      <w:pPr>
        <w:jc w:val="both"/>
        <w:rPr>
          <w:rFonts w:ascii="Arial" w:hAnsi="Arial" w:cs="Arial"/>
          <w:sz w:val="20"/>
          <w:szCs w:val="20"/>
        </w:rPr>
      </w:pPr>
    </w:p>
    <w:p w:rsidR="001F349C" w:rsidRDefault="00ED0A6C" w:rsidP="001F349C">
      <w:pPr>
        <w:pStyle w:val="Corpsdetexte2"/>
        <w:rPr>
          <w:rFonts w:cs="Arial"/>
        </w:rPr>
      </w:pPr>
      <w:bookmarkStart w:id="0" w:name="_GoBack"/>
      <w:bookmarkEnd w:id="0"/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00" w:rsidRDefault="006A2700">
      <w:r>
        <w:separator/>
      </w:r>
    </w:p>
  </w:endnote>
  <w:endnote w:type="continuationSeparator" w:id="0">
    <w:p w:rsidR="006A2700" w:rsidRDefault="006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8E7459">
      <w:rPr>
        <w:b/>
        <w:noProof/>
      </w:rPr>
      <w:t>4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8E7459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00" w:rsidRDefault="006A2700">
      <w:r>
        <w:separator/>
      </w:r>
    </w:p>
  </w:footnote>
  <w:footnote w:type="continuationSeparator" w:id="0">
    <w:p w:rsidR="006A2700" w:rsidRDefault="006A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0301AA">
      <w:rPr>
        <w:rFonts w:ascii="Arial" w:hAnsi="Arial" w:cs="Arial"/>
        <w:b/>
        <w:sz w:val="32"/>
        <w:szCs w:val="32"/>
      </w:rPr>
      <w:t>1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295C6E">
      <w:rPr>
        <w:rFonts w:ascii="Arial" w:hAnsi="Arial" w:cs="Arial"/>
        <w:b/>
        <w:sz w:val="32"/>
        <w:szCs w:val="32"/>
      </w:rPr>
      <w:t>1</w:t>
    </w:r>
    <w:r w:rsidR="00623911">
      <w:rPr>
        <w:rFonts w:ascii="Arial" w:hAnsi="Arial" w:cs="Arial"/>
        <w:b/>
        <w:sz w:val="32"/>
        <w:szCs w:val="32"/>
      </w:rPr>
      <w:t>-</w:t>
    </w:r>
    <w:r w:rsidR="006A2700">
      <w:rPr>
        <w:rFonts w:ascii="Arial" w:hAnsi="Arial" w:cs="Arial"/>
        <w:b/>
        <w:sz w:val="32"/>
        <w:szCs w:val="32"/>
      </w:rPr>
      <w:t>7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00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A2700"/>
    <w:rsid w:val="006B11CF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770AE"/>
    <w:rsid w:val="0088325C"/>
    <w:rsid w:val="00884B78"/>
    <w:rsid w:val="00893CB7"/>
    <w:rsid w:val="008A35EE"/>
    <w:rsid w:val="008A6CED"/>
    <w:rsid w:val="008A7FFE"/>
    <w:rsid w:val="008C7AB6"/>
    <w:rsid w:val="008E6DEC"/>
    <w:rsid w:val="008E7459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D7D21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296E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1BA"/>
    <w:rsid w:val="00C86D0E"/>
    <w:rsid w:val="00C92897"/>
    <w:rsid w:val="00C92A4B"/>
    <w:rsid w:val="00CA7EE5"/>
    <w:rsid w:val="00CB1694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3C03"/>
    <w:rsid w:val="00E55921"/>
    <w:rsid w:val="00E7598B"/>
    <w:rsid w:val="00E8496E"/>
    <w:rsid w:val="00EA23E7"/>
    <w:rsid w:val="00ED0A6C"/>
    <w:rsid w:val="00F07718"/>
    <w:rsid w:val="00F207AC"/>
    <w:rsid w:val="00F24B0A"/>
    <w:rsid w:val="00F25616"/>
    <w:rsid w:val="00F464F7"/>
    <w:rsid w:val="00F53A91"/>
    <w:rsid w:val="00F60A16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975999"/>
  <w15:docId w15:val="{5E6A05DA-1F81-4717-BD35-B9E83D70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1-27%2001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632E66BC1F4404A993052474321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D86D3-8188-4C9B-997E-F573FCDB77A2}"/>
      </w:docPartPr>
      <w:docPartBody>
        <w:p w:rsidR="00FB1653" w:rsidRDefault="00FB1653">
          <w:pPr>
            <w:pStyle w:val="C4632E66BC1F4404A993052474321E24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6AC080C7C98475F98BE8F3E21CFC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144F0-4291-486C-B2E1-CDCFBC708E04}"/>
      </w:docPartPr>
      <w:docPartBody>
        <w:p w:rsidR="00FB1653" w:rsidRDefault="00FB1653">
          <w:pPr>
            <w:pStyle w:val="26AC080C7C98475F98BE8F3E21CFCF6E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E47825FC975481A92F0851E5AABC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808D9-DA9C-45C2-BEDD-2A3DE1380C4F}"/>
      </w:docPartPr>
      <w:docPartBody>
        <w:p w:rsidR="00B37EDD" w:rsidRDefault="00FB1653" w:rsidP="00FB1653">
          <w:pPr>
            <w:pStyle w:val="1E47825FC975481A92F0851E5AABC1BF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53"/>
    <w:rsid w:val="00B37EDD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1653"/>
    <w:rPr>
      <w:color w:val="808080"/>
    </w:rPr>
  </w:style>
  <w:style w:type="paragraph" w:customStyle="1" w:styleId="C4632E66BC1F4404A993052474321E24">
    <w:name w:val="C4632E66BC1F4404A993052474321E24"/>
  </w:style>
  <w:style w:type="paragraph" w:customStyle="1" w:styleId="26AC080C7C98475F98BE8F3E21CFCF6E">
    <w:name w:val="26AC080C7C98475F98BE8F3E21CFCF6E"/>
  </w:style>
  <w:style w:type="paragraph" w:customStyle="1" w:styleId="1E47825FC975481A92F0851E5AABC1BF">
    <w:name w:val="1E47825FC975481A92F0851E5AABC1BF"/>
    <w:rsid w:val="00FB1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A249-E644-424E-A69B-0590F754109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136B71-797B-42A6-A6A0-CEEA3FDC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8</TotalTime>
  <Pages>4</Pages>
  <Words>1134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6</cp:revision>
  <cp:lastPrinted>2022-02-01T15:18:00Z</cp:lastPrinted>
  <dcterms:created xsi:type="dcterms:W3CDTF">2022-01-24T13:45:00Z</dcterms:created>
  <dcterms:modified xsi:type="dcterms:W3CDTF">2022-02-01T15:18:00Z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