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bookmarkStart w:id="0" w:name="_GoBack"/>
            <w:bookmarkEnd w:id="0"/>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541CDB" w:rsidRPr="00D64356" w:rsidRDefault="00541CDB" w:rsidP="00541CDB">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541CDB" w:rsidRPr="00D64356" w:rsidRDefault="00541CDB" w:rsidP="00541CDB">
            <w:pPr>
              <w:rPr>
                <w:rFonts w:ascii="Arial" w:hAnsi="Arial"/>
                <w:sz w:val="20"/>
                <w:szCs w:val="20"/>
              </w:rPr>
            </w:pPr>
            <w:r w:rsidRPr="00D64356">
              <w:rPr>
                <w:rFonts w:ascii="Arial" w:hAnsi="Arial"/>
                <w:sz w:val="20"/>
                <w:szCs w:val="20"/>
              </w:rPr>
              <w:t xml:space="preserve">Nombre de membres présents : </w:t>
            </w:r>
            <w:r>
              <w:rPr>
                <w:rFonts w:ascii="Arial" w:hAnsi="Arial"/>
                <w:b/>
                <w:sz w:val="20"/>
                <w:szCs w:val="20"/>
              </w:rPr>
              <w:t>41</w:t>
            </w:r>
          </w:p>
          <w:p w:rsidR="00541CDB" w:rsidRPr="00D64356" w:rsidRDefault="00541CDB" w:rsidP="00541CDB">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604CAE">
              <w:rPr>
                <w:rFonts w:ascii="Arial" w:hAnsi="Arial"/>
                <w:b/>
                <w:sz w:val="20"/>
                <w:szCs w:val="20"/>
              </w:rPr>
              <w:t>11</w:t>
            </w:r>
          </w:p>
          <w:p w:rsidR="00541CDB" w:rsidRPr="00D64356" w:rsidRDefault="00541CDB" w:rsidP="00541CDB">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Pr>
                <w:rFonts w:ascii="Arial" w:hAnsi="Arial"/>
                <w:b/>
                <w:sz w:val="20"/>
                <w:szCs w:val="20"/>
              </w:rPr>
              <w:t>3</w:t>
            </w:r>
          </w:p>
          <w:p w:rsidR="00D278EF" w:rsidRDefault="00541CDB" w:rsidP="00541CDB">
            <w:r w:rsidRPr="00D64356">
              <w:rPr>
                <w:rFonts w:ascii="Arial" w:hAnsi="Arial"/>
                <w:sz w:val="20"/>
                <w:szCs w:val="20"/>
              </w:rPr>
              <w:t>Nombre de membres absents :</w:t>
            </w:r>
            <w:r>
              <w:rPr>
                <w:rFonts w:ascii="Arial" w:hAnsi="Arial"/>
                <w:sz w:val="20"/>
                <w:szCs w:val="20"/>
              </w:rPr>
              <w:t xml:space="preserve"> </w:t>
            </w:r>
            <w:r w:rsidRPr="00604CAE">
              <w:rPr>
                <w:rFonts w:ascii="Arial" w:hAnsi="Arial"/>
                <w:b/>
                <w:sz w:val="20"/>
                <w:szCs w:val="20"/>
              </w:rPr>
              <w:t>6</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F56497" w:rsidP="00D278EF">
            <w:pPr>
              <w:rPr>
                <w:rFonts w:ascii="Arial" w:hAnsi="Arial" w:cs="Arial"/>
                <w:b/>
                <w:sz w:val="20"/>
                <w:szCs w:val="20"/>
              </w:rPr>
            </w:pPr>
            <w:r>
              <w:rPr>
                <w:rFonts w:ascii="Arial" w:hAnsi="Arial" w:cs="Arial"/>
                <w:b/>
                <w:sz w:val="20"/>
                <w:szCs w:val="20"/>
              </w:rPr>
              <w:t>25 mars</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6437E5"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AC856"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6437E5"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C1E1A"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F56497">
              <w:rPr>
                <w:b/>
                <w:sz w:val="20"/>
              </w:rPr>
              <w:t>31 Mars</w:t>
            </w:r>
            <w:r w:rsidR="00295C6E">
              <w:rPr>
                <w:b/>
                <w:sz w:val="20"/>
              </w:rPr>
              <w:t xml:space="preserve">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F56497">
              <w:t>31 mars</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F56497">
              <w:t>25 mars</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F56497">
              <w:t>25 mars</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541CDB" w:rsidP="003346E0">
            <w:pPr>
              <w:pStyle w:val="Corpsdetexte2"/>
              <w:ind w:left="72" w:right="214"/>
            </w:pPr>
            <w:r>
              <w:rPr>
                <w:rFonts w:cs="Arial"/>
              </w:rPr>
              <w:t xml:space="preserve">Mme Annick ALLAIN a été </w:t>
            </w:r>
            <w:r w:rsidRPr="002C3542">
              <w:rPr>
                <w:rFonts w:cs="Arial"/>
              </w:rPr>
              <w:t>nommé</w:t>
            </w:r>
            <w:r>
              <w:rPr>
                <w:rFonts w:cs="Arial"/>
              </w:rPr>
              <w:t>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AD53141B0CD742CC82799DB08F09ED84"/>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E11A27" w:rsidP="00D278EF">
                <w:pPr>
                  <w:ind w:left="356" w:hanging="356"/>
                  <w:rPr>
                    <w:rFonts w:ascii="Arial" w:hAnsi="Arial" w:cs="Arial"/>
                    <w:b/>
                    <w:sz w:val="20"/>
                    <w:szCs w:val="20"/>
                    <w:u w:val="single"/>
                  </w:rPr>
                </w:pPr>
                <w:r>
                  <w:rPr>
                    <w:rStyle w:val="Style7"/>
                  </w:rPr>
                  <w:t>7 - Finances Locales</w:t>
                </w:r>
              </w:p>
            </w:sdtContent>
          </w:sdt>
          <w:sdt>
            <w:sdtPr>
              <w:rPr>
                <w:rStyle w:val="Style8"/>
              </w:rPr>
              <w:id w:val="18689017"/>
              <w:placeholder>
                <w:docPart w:val="AD53141B0CD742CC82799DB08F09ED84"/>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E11A27" w:rsidP="00D278EF">
                <w:pPr>
                  <w:rPr>
                    <w:rFonts w:ascii="Arial" w:hAnsi="Arial" w:cs="Arial"/>
                    <w:b/>
                    <w:sz w:val="20"/>
                    <w:szCs w:val="20"/>
                  </w:rPr>
                </w:pPr>
                <w:r>
                  <w:rPr>
                    <w:rStyle w:val="Style8"/>
                  </w:rPr>
                  <w:t>7.1 - Décisions budgétaires</w:t>
                </w:r>
              </w:p>
            </w:sdtContent>
          </w:sdt>
          <w:p w:rsidR="00D278EF" w:rsidRPr="003346E0" w:rsidRDefault="00D278EF" w:rsidP="00727EF8">
            <w:pPr>
              <w:rPr>
                <w:rFonts w:ascii="Arial" w:hAnsi="Arial" w:cs="Arial"/>
                <w:b/>
                <w:sz w:val="12"/>
                <w:szCs w:val="12"/>
                <w:u w:val="single"/>
              </w:rPr>
            </w:pPr>
          </w:p>
          <w:p w:rsidR="00727EF8" w:rsidRPr="00E41260" w:rsidRDefault="0019330A" w:rsidP="00103956">
            <w:pPr>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103956" w:rsidRPr="00103956">
              <w:rPr>
                <w:rFonts w:ascii="Arial" w:hAnsi="Arial" w:cs="Arial"/>
                <w:b/>
                <w:sz w:val="20"/>
                <w:szCs w:val="20"/>
              </w:rPr>
              <w:t>Autorisation de programme – Construction d’une déchèterie</w:t>
            </w:r>
          </w:p>
        </w:tc>
      </w:tr>
    </w:tbl>
    <w:p w:rsidR="00541CDB" w:rsidRDefault="00541CDB" w:rsidP="00541CDB">
      <w:pPr>
        <w:ind w:right="-851"/>
        <w:jc w:val="both"/>
        <w:rPr>
          <w:rFonts w:ascii="Arial" w:hAnsi="Arial" w:cs="Arial"/>
          <w:sz w:val="20"/>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541CDB" w:rsidTr="00AC2E7E">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Absents</w:t>
            </w:r>
          </w:p>
        </w:tc>
      </w:tr>
      <w:tr w:rsidR="00541CDB" w:rsidTr="00AC2E7E">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541CDB" w:rsidRDefault="00541CDB" w:rsidP="00AC2E7E">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541CDB" w:rsidRDefault="00541CDB" w:rsidP="00AC2E7E">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541CDB" w:rsidRDefault="00541CDB" w:rsidP="00AC2E7E">
            <w:pPr>
              <w:rPr>
                <w:rFonts w:ascii="Arial" w:hAnsi="Arial" w:cs="Arial"/>
                <w:b/>
                <w:bCs/>
                <w:color w:val="000000"/>
                <w:sz w:val="18"/>
                <w:szCs w:val="18"/>
              </w:rPr>
            </w:pP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04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r>
      <w:tr w:rsidR="00541CDB" w:rsidTr="00AC2E7E">
        <w:trPr>
          <w:trHeight w:val="24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Xavier ANCKAERT</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541CDB" w:rsidRDefault="00541CDB" w:rsidP="00AC2E7E">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 Pascal DALIGAULT</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Mme Nathalie BOUILLARD </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Mme Catherine CAILLY</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Catherine CAILLY</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 Pascal DALIGAULT </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Sylvain DELANGE</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 Manuel MACHADO</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Mme Valérie DESQUESNE </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 Jean ELISABETH </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Mme Najat LEMERAY </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r>
      <w:tr w:rsidR="00541CDB" w:rsidTr="00AC2E7E">
        <w:trPr>
          <w:trHeight w:val="19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LA VILLETTE</w:t>
            </w:r>
          </w:p>
        </w:tc>
      </w:tr>
      <w:tr w:rsidR="00541CDB" w:rsidTr="00AC2E7E">
        <w:trPr>
          <w:trHeight w:val="31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Daniel BREARD</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 Arnaud BREARD</w:t>
            </w:r>
          </w:p>
        </w:tc>
        <w:tc>
          <w:tcPr>
            <w:tcW w:w="226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noWrap/>
            <w:vAlign w:val="bottom"/>
            <w:hideMark/>
          </w:tcPr>
          <w:p w:rsidR="00541CDB" w:rsidRDefault="00541CDB" w:rsidP="00AC2E7E">
            <w:pP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r>
      <w:tr w:rsidR="00541CDB" w:rsidTr="00AC2E7E">
        <w:trPr>
          <w:trHeight w:val="6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PERIGNY</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Jean-Christophe MEUNIER</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bl>
    <w:p w:rsidR="00541CDB" w:rsidRPr="00E13320" w:rsidRDefault="00541CDB" w:rsidP="00541CDB">
      <w:pPr>
        <w:rPr>
          <w:sz w:val="2"/>
          <w:szCs w:val="2"/>
        </w:rPr>
      </w:pPr>
    </w:p>
    <w:p w:rsidR="00541CDB" w:rsidRDefault="00541CDB" w:rsidP="00541CDB">
      <w:r>
        <w:br w:type="page"/>
      </w: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541CDB" w:rsidTr="00AC2E7E">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lastRenderedPageBreak/>
              <w:br w:type="page"/>
            </w: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Absents</w:t>
            </w:r>
          </w:p>
        </w:tc>
      </w:tr>
      <w:tr w:rsidR="00541CDB" w:rsidTr="00AC2E7E">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541CDB" w:rsidRDefault="00541CDB" w:rsidP="00AC2E7E">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541CDB" w:rsidRDefault="00541CDB" w:rsidP="00AC2E7E">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541CDB" w:rsidRDefault="00541CDB" w:rsidP="00AC2E7E">
            <w:pPr>
              <w:rPr>
                <w:rFonts w:ascii="Arial" w:hAnsi="Arial" w:cs="Arial"/>
                <w:b/>
                <w:bCs/>
                <w:color w:val="000000"/>
                <w:sz w:val="18"/>
                <w:szCs w:val="18"/>
              </w:rPr>
            </w:pP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04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r>
      <w:tr w:rsidR="00541CDB" w:rsidTr="00AC2E7E">
        <w:trPr>
          <w:trHeight w:val="11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PONTECOULANT</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Jean-Pierre MOURICE</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r>
      <w:tr w:rsidR="00541CDB" w:rsidTr="00AC2E7E">
        <w:trPr>
          <w:trHeight w:val="1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Manuel MACHADO</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r>
      <w:tr w:rsidR="00541CDB" w:rsidTr="00AC2E7E">
        <w:trPr>
          <w:trHeight w:val="14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 Jean TURMEL </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bottom"/>
            <w:hideMark/>
          </w:tcPr>
          <w:p w:rsidR="00541CDB" w:rsidRDefault="00541CDB" w:rsidP="00AC2E7E">
            <w:pP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rPr>
                <w:sz w:val="20"/>
                <w:szCs w:val="20"/>
              </w:rPr>
            </w:pPr>
          </w:p>
        </w:tc>
      </w:tr>
      <w:tr w:rsidR="00541CDB" w:rsidTr="00AC2E7E">
        <w:trPr>
          <w:trHeight w:val="15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BEAUMESNIL</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Gilles PORQUET</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noWrap/>
            <w:vAlign w:val="bottom"/>
            <w:hideMark/>
          </w:tcPr>
          <w:p w:rsidR="00541CDB" w:rsidRDefault="00541CDB" w:rsidP="00AC2E7E">
            <w:pPr>
              <w:rPr>
                <w:sz w:val="20"/>
                <w:szCs w:val="20"/>
              </w:rPr>
            </w:pPr>
          </w:p>
        </w:tc>
        <w:tc>
          <w:tcPr>
            <w:tcW w:w="1120" w:type="dxa"/>
            <w:tcBorders>
              <w:top w:val="nil"/>
              <w:left w:val="nil"/>
              <w:bottom w:val="nil"/>
              <w:right w:val="nil"/>
            </w:tcBorders>
            <w:shd w:val="clear" w:color="auto" w:fill="auto"/>
            <w:noWrap/>
            <w:vAlign w:val="bottom"/>
            <w:hideMark/>
          </w:tcPr>
          <w:p w:rsidR="00541CDB" w:rsidRDefault="00541CDB" w:rsidP="00AC2E7E">
            <w:pP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rPr>
                <w:sz w:val="20"/>
                <w:szCs w:val="20"/>
              </w:rPr>
            </w:pPr>
          </w:p>
        </w:tc>
      </w:tr>
      <w:tr w:rsidR="00541CDB" w:rsidTr="00AC2E7E">
        <w:trPr>
          <w:trHeight w:val="164"/>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CAMPAGNOLLES</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88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r>
      <w:tr w:rsidR="00541CDB" w:rsidTr="00AC2E7E">
        <w:trPr>
          <w:trHeight w:val="26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 Denis JOUAULT </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noWrap/>
            <w:vAlign w:val="bottom"/>
            <w:hideMark/>
          </w:tcPr>
          <w:p w:rsidR="00541CDB" w:rsidRDefault="00541CDB" w:rsidP="00AC2E7E">
            <w:pP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r>
      <w:tr w:rsidR="00541CDB" w:rsidTr="00AC2E7E">
        <w:trPr>
          <w:trHeight w:val="23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Jean-Claude RUAULT</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r>
      <w:tr w:rsidR="00541CDB" w:rsidTr="00AC2E7E">
        <w:trPr>
          <w:trHeight w:val="24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NOUES-DE-SIENNE</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Coraline BRISON- VALOGNES</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541CDB" w:rsidRDefault="00541CDB" w:rsidP="00AC2E7E">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Olivier JEANNEAU</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Mme Colette JOUAULT </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Bernadette LEROY</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Georges RAVENEL</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r>
      <w:tr w:rsidR="00541CDB" w:rsidTr="00AC2E7E">
        <w:trPr>
          <w:trHeight w:val="186"/>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PONT-BELLANGER</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Christian MARIETTE</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Mme Martine TREMPU</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bottom"/>
            <w:hideMark/>
          </w:tcPr>
          <w:p w:rsidR="00541CDB" w:rsidRDefault="00541CDB" w:rsidP="00AC2E7E">
            <w:pP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rPr>
                <w:sz w:val="20"/>
                <w:szCs w:val="20"/>
              </w:rPr>
            </w:pPr>
          </w:p>
        </w:tc>
      </w:tr>
      <w:tr w:rsidR="00541CDB" w:rsidTr="00AC2E7E">
        <w:trPr>
          <w:trHeight w:val="21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Maurice ANNE</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r>
      <w:tr w:rsidR="00541CDB" w:rsidTr="00AC2E7E">
        <w:trPr>
          <w:trHeight w:val="22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Catherine GARNIER</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r>
      <w:tr w:rsidR="00541CDB" w:rsidTr="00AC2E7E">
        <w:trPr>
          <w:trHeight w:val="113"/>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noWrap/>
            <w:vAlign w:val="bottom"/>
            <w:hideMark/>
          </w:tcPr>
          <w:p w:rsidR="00541CDB" w:rsidRDefault="00541CDB" w:rsidP="00AC2E7E">
            <w:pPr>
              <w:rPr>
                <w:sz w:val="20"/>
                <w:szCs w:val="20"/>
              </w:rPr>
            </w:pPr>
          </w:p>
        </w:tc>
        <w:tc>
          <w:tcPr>
            <w:tcW w:w="1120" w:type="dxa"/>
            <w:tcBorders>
              <w:top w:val="nil"/>
              <w:left w:val="nil"/>
              <w:bottom w:val="nil"/>
              <w:right w:val="nil"/>
            </w:tcBorders>
            <w:shd w:val="clear" w:color="auto" w:fill="auto"/>
            <w:noWrap/>
            <w:vAlign w:val="bottom"/>
            <w:hideMark/>
          </w:tcPr>
          <w:p w:rsidR="00541CDB" w:rsidRDefault="00541CDB" w:rsidP="00AC2E7E">
            <w:pPr>
              <w:rPr>
                <w:sz w:val="20"/>
                <w:szCs w:val="20"/>
              </w:rPr>
            </w:pPr>
          </w:p>
        </w:tc>
        <w:tc>
          <w:tcPr>
            <w:tcW w:w="880" w:type="dxa"/>
            <w:tcBorders>
              <w:top w:val="nil"/>
              <w:left w:val="nil"/>
              <w:bottom w:val="nil"/>
              <w:right w:val="nil"/>
            </w:tcBorders>
            <w:shd w:val="clear" w:color="auto" w:fill="auto"/>
            <w:noWrap/>
            <w:vAlign w:val="bottom"/>
            <w:hideMark/>
          </w:tcPr>
          <w:p w:rsidR="00541CDB" w:rsidRDefault="00541CDB" w:rsidP="00AC2E7E">
            <w:pPr>
              <w:rPr>
                <w:sz w:val="20"/>
                <w:szCs w:val="20"/>
              </w:rPr>
            </w:pPr>
          </w:p>
        </w:tc>
      </w:tr>
      <w:tr w:rsidR="00541CDB" w:rsidTr="00AC2E7E">
        <w:trPr>
          <w:trHeight w:val="9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Annick ALLAIN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541CDB" w:rsidRDefault="00541CDB" w:rsidP="00AC2E7E">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Alain DECLOMESNIL</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Régis DELIQUAIRE</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Didier DUCHEMIN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 Régis DELIQUAIRE</w:t>
            </w:r>
          </w:p>
        </w:tc>
        <w:tc>
          <w:tcPr>
            <w:tcW w:w="112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Marc GUILLAUMIN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Mme Sandrine SAMSON</w:t>
            </w:r>
          </w:p>
        </w:tc>
        <w:tc>
          <w:tcPr>
            <w:tcW w:w="112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Francis HERMON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color w:val="000000"/>
                <w:sz w:val="18"/>
                <w:szCs w:val="18"/>
              </w:rPr>
            </w:pP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Marie-Line LEVALLOIS</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Mme Annick ALLAIN</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Eric MARTIN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Natacha MASSIEU</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p>
        </w:tc>
      </w:tr>
      <w:tr w:rsidR="00541CDB" w:rsidTr="00AC2E7E">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Sandrine SAMSON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Cyndi THOMAS</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r>
    </w:tbl>
    <w:p w:rsidR="00541CDB" w:rsidRDefault="00541CDB" w:rsidP="00541CDB">
      <w:pPr>
        <w:rPr>
          <w:sz w:val="8"/>
          <w:szCs w:val="8"/>
        </w:rPr>
      </w:pPr>
    </w:p>
    <w:p w:rsidR="00541CDB" w:rsidRPr="00F11D18" w:rsidRDefault="00541CDB" w:rsidP="00541CDB">
      <w:pPr>
        <w:rPr>
          <w:sz w:val="4"/>
          <w:szCs w:val="4"/>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541CDB" w:rsidTr="00AC2E7E">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Absents</w:t>
            </w:r>
          </w:p>
        </w:tc>
      </w:tr>
      <w:tr w:rsidR="00541CDB" w:rsidTr="00AC2E7E">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541CDB" w:rsidRDefault="00541CDB" w:rsidP="00AC2E7E">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541CDB" w:rsidRDefault="00541CDB" w:rsidP="00AC2E7E">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541CDB" w:rsidRDefault="00541CDB" w:rsidP="00AC2E7E">
            <w:pPr>
              <w:rPr>
                <w:rFonts w:ascii="Arial" w:hAnsi="Arial" w:cs="Arial"/>
                <w:b/>
                <w:bCs/>
                <w:color w:val="000000"/>
                <w:sz w:val="18"/>
                <w:szCs w:val="18"/>
              </w:rPr>
            </w:pPr>
          </w:p>
        </w:tc>
      </w:tr>
      <w:tr w:rsidR="00541CDB" w:rsidTr="00AC2E7E">
        <w:trPr>
          <w:trHeight w:val="85"/>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04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r>
      <w:tr w:rsidR="00541CDB" w:rsidTr="00AC2E7E">
        <w:trPr>
          <w:trHeight w:val="23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VALDALLIERE</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Jean-Paul ANGENEAU</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541CDB" w:rsidRDefault="00541CDB" w:rsidP="00AC2E7E">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 xml:space="preserve">M. Frédéric BROGNIART </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 : M. Jean-Paul ANGENEAU</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Caroline CHANU</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p>
        </w:tc>
        <w:tc>
          <w:tcPr>
            <w:tcW w:w="880" w:type="dxa"/>
            <w:tcBorders>
              <w:top w:val="nil"/>
              <w:left w:val="nil"/>
              <w:bottom w:val="single" w:sz="4" w:space="0" w:color="auto"/>
              <w:right w:val="single" w:sz="8" w:space="0" w:color="auto"/>
            </w:tcBorders>
            <w:shd w:val="clear" w:color="auto" w:fill="auto"/>
            <w:noWrap/>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Marie-Françoise DAUPRAT</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Gilles FAUCON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Brigitte MENNIER</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r>
      <w:tr w:rsidR="00541CDB" w:rsidTr="00AC2E7E">
        <w:trPr>
          <w:trHeight w:val="238"/>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Sabrina SCOLA</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85"/>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noWrap/>
            <w:vAlign w:val="center"/>
            <w:hideMark/>
          </w:tcPr>
          <w:p w:rsidR="00541CDB" w:rsidRDefault="00541CDB" w:rsidP="00AC2E7E">
            <w:pPr>
              <w:jc w:val="center"/>
              <w:rPr>
                <w:sz w:val="20"/>
                <w:szCs w:val="20"/>
              </w:rPr>
            </w:pPr>
          </w:p>
        </w:tc>
      </w:tr>
      <w:tr w:rsidR="00541CDB" w:rsidTr="00AC2E7E">
        <w:trPr>
          <w:trHeight w:val="23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41CDB" w:rsidRDefault="00541CDB" w:rsidP="00AC2E7E">
            <w:pPr>
              <w:rPr>
                <w:rFonts w:ascii="Calibri" w:hAnsi="Calibri"/>
                <w:b/>
                <w:bCs/>
                <w:color w:val="000000"/>
                <w:sz w:val="18"/>
                <w:szCs w:val="18"/>
                <w:u w:val="single"/>
              </w:rPr>
            </w:pPr>
            <w:r>
              <w:rPr>
                <w:rFonts w:ascii="Calibri" w:hAnsi="Calibri"/>
                <w:b/>
                <w:bCs/>
                <w:color w:val="000000"/>
                <w:sz w:val="18"/>
                <w:szCs w:val="18"/>
                <w:u w:val="single"/>
              </w:rPr>
              <w:t>VIRE NORMANDIE</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Marc ANDREU SABATER</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541CDB" w:rsidRDefault="00541CDB" w:rsidP="00AC2E7E">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color w:val="000000"/>
                <w:sz w:val="18"/>
                <w:szCs w:val="18"/>
              </w:rPr>
            </w:pPr>
            <w:r>
              <w:rPr>
                <w:rFonts w:ascii="Calibri" w:hAnsi="Calibri"/>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Marie-Noëlle BALLE</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Lucien BAZIN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Marie-Ange CORDIER</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Serge COUASNON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color w:val="000000"/>
                <w:sz w:val="18"/>
                <w:szCs w:val="18"/>
              </w:rPr>
            </w:pP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Nicole DESMOTTES</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Sylvie GELEZ</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Corentin GOETHALS</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Pr="002E64BE" w:rsidRDefault="00541CDB" w:rsidP="00AC2E7E">
            <w:pPr>
              <w:ind w:hanging="140"/>
              <w:jc w:val="right"/>
              <w:rPr>
                <w:rFonts w:ascii="Calibri" w:hAnsi="Calibri"/>
                <w:b/>
                <w:bCs/>
                <w:color w:val="000000"/>
                <w:sz w:val="17"/>
                <w:szCs w:val="17"/>
              </w:rPr>
            </w:pPr>
            <w:r w:rsidRPr="002E64BE">
              <w:rPr>
                <w:rFonts w:ascii="Calibri" w:hAnsi="Calibri"/>
                <w:b/>
                <w:bCs/>
                <w:color w:val="000000"/>
                <w:sz w:val="17"/>
                <w:szCs w:val="17"/>
              </w:rPr>
              <w:t>X : Mme Marie-Ange CORDIER</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Catherine MADELAINE</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Gilles MALOISEL</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Pascal MARTIN</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Pr="00E765F4" w:rsidRDefault="00541CDB" w:rsidP="00AC2E7E">
            <w:pPr>
              <w:jc w:val="center"/>
              <w:rPr>
                <w:rFonts w:ascii="Calibri" w:hAnsi="Calibri"/>
                <w:b/>
                <w:bCs/>
                <w:color w:val="000000"/>
                <w:sz w:val="17"/>
                <w:szCs w:val="17"/>
              </w:rPr>
            </w:pPr>
            <w:r w:rsidRPr="00E765F4">
              <w:rPr>
                <w:rFonts w:ascii="Calibri" w:hAnsi="Calibri"/>
                <w:b/>
                <w:bCs/>
                <w:color w:val="000000"/>
                <w:sz w:val="17"/>
                <w:szCs w:val="17"/>
              </w:rPr>
              <w:t>X : M. Serge COUASNON</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Gérard MARY</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Marie-Odile MOREL</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Valérie OLLIVIER</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Régis PICOT</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Pr="00E765F4" w:rsidRDefault="00541CDB" w:rsidP="00AC2E7E">
            <w:pPr>
              <w:ind w:hanging="140"/>
              <w:jc w:val="right"/>
              <w:rPr>
                <w:rFonts w:ascii="Calibri" w:hAnsi="Calibri"/>
                <w:b/>
                <w:bCs/>
                <w:color w:val="000000"/>
                <w:sz w:val="17"/>
                <w:szCs w:val="17"/>
              </w:rPr>
            </w:pPr>
            <w:r w:rsidRPr="00E765F4">
              <w:rPr>
                <w:rFonts w:ascii="Calibri" w:hAnsi="Calibri"/>
                <w:b/>
                <w:bCs/>
                <w:color w:val="000000"/>
                <w:sz w:val="17"/>
                <w:szCs w:val="17"/>
              </w:rPr>
              <w:t>X : M. Marc ANDREU SABATER</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Jane PIGAULT</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r>
      <w:tr w:rsidR="00541CDB" w:rsidTr="00AC2E7E">
        <w:trPr>
          <w:trHeight w:val="238"/>
        </w:trPr>
        <w:tc>
          <w:tcPr>
            <w:tcW w:w="2920" w:type="dxa"/>
            <w:tcBorders>
              <w:top w:val="nil"/>
              <w:left w:val="single" w:sz="8" w:space="0" w:color="auto"/>
              <w:bottom w:val="nil"/>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Mme Annie ROSSI</w:t>
            </w:r>
          </w:p>
        </w:tc>
        <w:tc>
          <w:tcPr>
            <w:tcW w:w="920" w:type="dxa"/>
            <w:tcBorders>
              <w:top w:val="nil"/>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238"/>
        </w:trPr>
        <w:tc>
          <w:tcPr>
            <w:tcW w:w="2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41CDB" w:rsidRDefault="00541CDB" w:rsidP="00AC2E7E">
            <w:pPr>
              <w:rPr>
                <w:rFonts w:ascii="Arial" w:hAnsi="Arial" w:cs="Arial"/>
                <w:color w:val="000000"/>
                <w:sz w:val="18"/>
                <w:szCs w:val="18"/>
              </w:rPr>
            </w:pPr>
            <w:r>
              <w:rPr>
                <w:rFonts w:ascii="Arial" w:hAnsi="Arial" w:cs="Arial"/>
                <w:color w:val="000000"/>
                <w:sz w:val="18"/>
                <w:szCs w:val="18"/>
              </w:rPr>
              <w:t>M. Guy VELANY</w:t>
            </w:r>
          </w:p>
        </w:tc>
        <w:tc>
          <w:tcPr>
            <w:tcW w:w="920" w:type="dxa"/>
            <w:tcBorders>
              <w:top w:val="nil"/>
              <w:left w:val="nil"/>
              <w:bottom w:val="single" w:sz="8"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541CDB" w:rsidRDefault="00541CDB" w:rsidP="00AC2E7E">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541CDB" w:rsidRDefault="00541CDB" w:rsidP="00AC2E7E">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 </w:t>
            </w:r>
          </w:p>
        </w:tc>
      </w:tr>
      <w:tr w:rsidR="00541CDB" w:rsidTr="00AC2E7E">
        <w:trPr>
          <w:trHeight w:val="85"/>
        </w:trPr>
        <w:tc>
          <w:tcPr>
            <w:tcW w:w="2920" w:type="dxa"/>
            <w:tcBorders>
              <w:top w:val="nil"/>
              <w:left w:val="nil"/>
              <w:bottom w:val="nil"/>
              <w:right w:val="nil"/>
            </w:tcBorders>
            <w:shd w:val="clear" w:color="auto" w:fill="auto"/>
            <w:vAlign w:val="center"/>
            <w:hideMark/>
          </w:tcPr>
          <w:p w:rsidR="00541CDB" w:rsidRDefault="00541CDB" w:rsidP="00AC2E7E">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541CDB" w:rsidRDefault="00541CDB" w:rsidP="00AC2E7E">
            <w:pPr>
              <w:rPr>
                <w:sz w:val="20"/>
                <w:szCs w:val="20"/>
              </w:rPr>
            </w:pPr>
          </w:p>
        </w:tc>
        <w:tc>
          <w:tcPr>
            <w:tcW w:w="204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2260" w:type="dxa"/>
            <w:tcBorders>
              <w:top w:val="nil"/>
              <w:left w:val="nil"/>
              <w:bottom w:val="nil"/>
              <w:right w:val="nil"/>
            </w:tcBorders>
            <w:shd w:val="clear" w:color="auto" w:fill="auto"/>
            <w:vAlign w:val="center"/>
            <w:hideMark/>
          </w:tcPr>
          <w:p w:rsidR="00541CDB" w:rsidRDefault="00541CDB" w:rsidP="00AC2E7E">
            <w:pPr>
              <w:jc w:val="center"/>
              <w:rPr>
                <w:sz w:val="20"/>
                <w:szCs w:val="20"/>
              </w:rPr>
            </w:pPr>
          </w:p>
        </w:tc>
        <w:tc>
          <w:tcPr>
            <w:tcW w:w="1120" w:type="dxa"/>
            <w:tcBorders>
              <w:top w:val="nil"/>
              <w:left w:val="nil"/>
              <w:bottom w:val="nil"/>
              <w:right w:val="nil"/>
            </w:tcBorders>
            <w:shd w:val="clear" w:color="auto" w:fill="auto"/>
            <w:noWrap/>
            <w:vAlign w:val="bottom"/>
            <w:hideMark/>
          </w:tcPr>
          <w:p w:rsidR="00541CDB" w:rsidRDefault="00541CDB" w:rsidP="00AC2E7E">
            <w:pPr>
              <w:jc w:val="center"/>
              <w:rPr>
                <w:sz w:val="20"/>
                <w:szCs w:val="20"/>
              </w:rPr>
            </w:pPr>
          </w:p>
        </w:tc>
        <w:tc>
          <w:tcPr>
            <w:tcW w:w="880" w:type="dxa"/>
            <w:tcBorders>
              <w:top w:val="nil"/>
              <w:left w:val="nil"/>
              <w:bottom w:val="nil"/>
              <w:right w:val="nil"/>
            </w:tcBorders>
            <w:shd w:val="clear" w:color="auto" w:fill="auto"/>
            <w:noWrap/>
            <w:vAlign w:val="bottom"/>
            <w:hideMark/>
          </w:tcPr>
          <w:p w:rsidR="00541CDB" w:rsidRDefault="00541CDB" w:rsidP="00AC2E7E">
            <w:pPr>
              <w:rPr>
                <w:sz w:val="20"/>
                <w:szCs w:val="20"/>
              </w:rPr>
            </w:pPr>
          </w:p>
        </w:tc>
      </w:tr>
      <w:tr w:rsidR="00541CDB" w:rsidTr="00AC2E7E">
        <w:trPr>
          <w:trHeight w:val="202"/>
        </w:trPr>
        <w:tc>
          <w:tcPr>
            <w:tcW w:w="2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TOTAL</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39</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2</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3</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6</w:t>
            </w:r>
          </w:p>
        </w:tc>
      </w:tr>
      <w:tr w:rsidR="00541CDB" w:rsidTr="00AC2E7E">
        <w:trPr>
          <w:trHeight w:val="222"/>
        </w:trPr>
        <w:tc>
          <w:tcPr>
            <w:tcW w:w="3840" w:type="dxa"/>
            <w:gridSpan w:val="2"/>
            <w:tcBorders>
              <w:top w:val="single" w:sz="4" w:space="0" w:color="auto"/>
              <w:left w:val="single" w:sz="8" w:space="0" w:color="auto"/>
              <w:bottom w:val="nil"/>
              <w:right w:val="single" w:sz="4" w:space="0" w:color="000000"/>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61</w:t>
            </w:r>
          </w:p>
        </w:tc>
      </w:tr>
      <w:tr w:rsidR="00541CDB" w:rsidTr="00AC2E7E">
        <w:trPr>
          <w:trHeight w:val="213"/>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41</w:t>
            </w:r>
          </w:p>
        </w:tc>
      </w:tr>
      <w:tr w:rsidR="00541CDB" w:rsidTr="00AC2E7E">
        <w:trPr>
          <w:trHeight w:val="1737"/>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21</w:t>
            </w:r>
          </w:p>
        </w:tc>
      </w:tr>
      <w:tr w:rsidR="00541CDB" w:rsidTr="00AC2E7E">
        <w:trPr>
          <w:trHeight w:val="262"/>
        </w:trPr>
        <w:tc>
          <w:tcPr>
            <w:tcW w:w="38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541CDB" w:rsidRDefault="00541CDB" w:rsidP="00AC2E7E">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541CDB" w:rsidRDefault="00541CDB" w:rsidP="00AC2E7E">
            <w:pPr>
              <w:jc w:val="center"/>
              <w:rPr>
                <w:rFonts w:ascii="Calibri" w:hAnsi="Calibri"/>
                <w:b/>
                <w:bCs/>
                <w:color w:val="000000"/>
                <w:sz w:val="18"/>
                <w:szCs w:val="18"/>
              </w:rPr>
            </w:pPr>
            <w:r>
              <w:rPr>
                <w:rFonts w:ascii="Calibri" w:hAnsi="Calibri"/>
                <w:b/>
                <w:bCs/>
                <w:color w:val="000000"/>
                <w:sz w:val="18"/>
                <w:szCs w:val="18"/>
              </w:rPr>
              <w:t>52</w:t>
            </w:r>
          </w:p>
        </w:tc>
      </w:tr>
    </w:tbl>
    <w:p w:rsidR="00541CDB" w:rsidRDefault="00541CDB" w:rsidP="00541CDB">
      <w:pPr>
        <w:ind w:right="-851"/>
        <w:jc w:val="both"/>
        <w:rPr>
          <w:rFonts w:ascii="Arial" w:hAnsi="Arial" w:cs="Arial"/>
          <w:sz w:val="20"/>
        </w:rPr>
      </w:pPr>
    </w:p>
    <w:p w:rsidR="00541CDB" w:rsidRDefault="00541CDB" w:rsidP="001B0BDC">
      <w:pPr>
        <w:ind w:right="-851"/>
        <w:jc w:val="both"/>
        <w:rPr>
          <w:rFonts w:ascii="Arial" w:hAnsi="Arial" w:cs="Arial"/>
          <w:b/>
          <w:sz w:val="20"/>
        </w:rPr>
      </w:pPr>
    </w:p>
    <w:p w:rsidR="00014AE9" w:rsidRPr="00F60A16" w:rsidRDefault="007C33FD" w:rsidP="001B0BDC">
      <w:pPr>
        <w:ind w:right="-851"/>
        <w:jc w:val="both"/>
        <w:rPr>
          <w:rFonts w:ascii="Arial" w:hAnsi="Arial" w:cs="Arial"/>
          <w:b/>
          <w:sz w:val="20"/>
        </w:rPr>
      </w:pPr>
      <w:sdt>
        <w:sdtPr>
          <w:rPr>
            <w:rFonts w:ascii="Arial" w:hAnsi="Arial" w:cs="Arial"/>
            <w:b/>
            <w:sz w:val="20"/>
          </w:rPr>
          <w:id w:val="18689018"/>
          <w:placeholder>
            <w:docPart w:val="DF7CCA3BCE5741AD92EE8AE8C4E4337A"/>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103956">
            <w:rPr>
              <w:rFonts w:ascii="Arial" w:hAnsi="Arial" w:cs="Arial"/>
              <w:b/>
              <w:sz w:val="20"/>
            </w:rPr>
            <w:t>Mme Annie ROSSI</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E11A27" w:rsidRDefault="00014AE9" w:rsidP="001B0BDC">
      <w:pPr>
        <w:ind w:right="-290"/>
        <w:jc w:val="both"/>
        <w:rPr>
          <w:rFonts w:ascii="Arial" w:hAnsi="Arial" w:cs="Arial"/>
          <w:sz w:val="12"/>
          <w:szCs w:val="12"/>
        </w:rPr>
      </w:pPr>
    </w:p>
    <w:p w:rsidR="00457E2C" w:rsidRPr="00A24AB4" w:rsidRDefault="00457E2C" w:rsidP="00E11A27">
      <w:pPr>
        <w:spacing w:after="60"/>
        <w:jc w:val="both"/>
        <w:rPr>
          <w:rFonts w:ascii="Arial" w:hAnsi="Arial" w:cs="Arial"/>
          <w:sz w:val="20"/>
          <w:szCs w:val="20"/>
        </w:rPr>
      </w:pPr>
      <w:r w:rsidRPr="00A24AB4">
        <w:rPr>
          <w:rFonts w:ascii="Arial" w:hAnsi="Arial" w:cs="Arial"/>
          <w:sz w:val="20"/>
          <w:szCs w:val="20"/>
        </w:rPr>
        <w:t xml:space="preserve">Il est rappelé que l’un des principes fondamentaux des finances publiques repose sur l’annuité budgétaire. </w:t>
      </w:r>
    </w:p>
    <w:p w:rsidR="00457E2C" w:rsidRPr="00A24AB4" w:rsidRDefault="00457E2C" w:rsidP="00457E2C">
      <w:pPr>
        <w:jc w:val="both"/>
        <w:rPr>
          <w:rFonts w:ascii="Arial" w:hAnsi="Arial" w:cs="Arial"/>
          <w:sz w:val="20"/>
          <w:szCs w:val="20"/>
        </w:rPr>
      </w:pPr>
      <w:r w:rsidRPr="00A24AB4">
        <w:rPr>
          <w:rFonts w:ascii="Arial" w:hAnsi="Arial" w:cs="Arial"/>
          <w:sz w:val="20"/>
          <w:szCs w:val="20"/>
        </w:rPr>
        <w:t>Pour les opérations d’investissement, les collectivités territoriales peuvent utiliser deux techniques comptables :</w:t>
      </w:r>
    </w:p>
    <w:p w:rsidR="00457E2C" w:rsidRPr="00A24AB4" w:rsidRDefault="00457E2C" w:rsidP="00457E2C">
      <w:pPr>
        <w:pStyle w:val="Paragraphedeliste"/>
        <w:numPr>
          <w:ilvl w:val="0"/>
          <w:numId w:val="12"/>
        </w:numPr>
        <w:spacing w:after="160"/>
        <w:jc w:val="both"/>
        <w:rPr>
          <w:rFonts w:ascii="Arial" w:hAnsi="Arial" w:cs="Arial"/>
          <w:sz w:val="20"/>
          <w:szCs w:val="20"/>
        </w:rPr>
      </w:pPr>
      <w:r w:rsidRPr="00A24AB4">
        <w:rPr>
          <w:rFonts w:ascii="Arial" w:hAnsi="Arial" w:cs="Arial"/>
          <w:sz w:val="20"/>
          <w:szCs w:val="20"/>
        </w:rPr>
        <w:t>L’inscription   de la totalité de la dépense la 1</w:t>
      </w:r>
      <w:r w:rsidRPr="00A24AB4">
        <w:rPr>
          <w:rFonts w:ascii="Arial" w:hAnsi="Arial" w:cs="Arial"/>
          <w:sz w:val="20"/>
          <w:szCs w:val="20"/>
          <w:vertAlign w:val="superscript"/>
        </w:rPr>
        <w:t>ère</w:t>
      </w:r>
      <w:r w:rsidRPr="00A24AB4">
        <w:rPr>
          <w:rFonts w:ascii="Arial" w:hAnsi="Arial" w:cs="Arial"/>
          <w:sz w:val="20"/>
          <w:szCs w:val="20"/>
        </w:rPr>
        <w:t xml:space="preserve"> année, puis report d’une année sur l’autre du solde des engagements. Cette méthode nécessite l’ouverture de crédits suffisants pour couvrir la totalité des engagements dès la première année.</w:t>
      </w:r>
    </w:p>
    <w:p w:rsidR="00457E2C" w:rsidRPr="00A24AB4" w:rsidRDefault="00457E2C" w:rsidP="00E11A27">
      <w:pPr>
        <w:pStyle w:val="Paragraphedeliste"/>
        <w:numPr>
          <w:ilvl w:val="0"/>
          <w:numId w:val="12"/>
        </w:numPr>
        <w:spacing w:after="60"/>
        <w:jc w:val="both"/>
        <w:rPr>
          <w:rFonts w:ascii="Arial" w:hAnsi="Arial" w:cs="Arial"/>
          <w:sz w:val="20"/>
          <w:szCs w:val="20"/>
        </w:rPr>
      </w:pPr>
      <w:r w:rsidRPr="00A24AB4">
        <w:rPr>
          <w:rFonts w:ascii="Arial" w:hAnsi="Arial" w:cs="Arial"/>
          <w:sz w:val="20"/>
          <w:szCs w:val="20"/>
        </w:rPr>
        <w:t>La prévision d’un échéancier dès le début de l’opération qui se décline par une ouverture des crédits budgétaires annuels par tranches. C’est le principe des AP/CP (Autorisation de Programme/Crédits de Paiement).</w:t>
      </w:r>
    </w:p>
    <w:p w:rsidR="00457E2C" w:rsidRPr="00A24AB4" w:rsidRDefault="00457E2C" w:rsidP="00E11A27">
      <w:pPr>
        <w:spacing w:after="60"/>
        <w:jc w:val="both"/>
        <w:rPr>
          <w:rFonts w:ascii="Arial" w:hAnsi="Arial" w:cs="Arial"/>
          <w:sz w:val="20"/>
          <w:szCs w:val="20"/>
        </w:rPr>
      </w:pPr>
      <w:r w:rsidRPr="00A24AB4">
        <w:rPr>
          <w:rFonts w:ascii="Arial" w:hAnsi="Arial" w:cs="Arial"/>
          <w:sz w:val="20"/>
          <w:szCs w:val="20"/>
        </w:rPr>
        <w:t xml:space="preserve">La procédure des AP/CP constitue donc une dérogation au principe de l’annuité budgétaire. Elle permet, en dissociant l’engagement pluriannuel des investissements de l’équilibre budgétaire annuel, de limiter le recours aux reports d’investissement. L’équilibre budgétaire s’apprécie en tenant compte des seuls CP.    </w:t>
      </w:r>
    </w:p>
    <w:p w:rsidR="00457E2C" w:rsidRPr="00A24AB4" w:rsidRDefault="00457E2C" w:rsidP="00E11A27">
      <w:pPr>
        <w:spacing w:after="60"/>
        <w:jc w:val="both"/>
        <w:rPr>
          <w:rFonts w:ascii="Arial" w:hAnsi="Arial" w:cs="Arial"/>
          <w:b/>
          <w:sz w:val="20"/>
          <w:szCs w:val="20"/>
        </w:rPr>
      </w:pPr>
      <w:r w:rsidRPr="00A24AB4">
        <w:rPr>
          <w:rFonts w:ascii="Arial" w:hAnsi="Arial" w:cs="Arial"/>
          <w:b/>
          <w:sz w:val="20"/>
          <w:szCs w:val="20"/>
          <w:u w:val="single"/>
        </w:rPr>
        <w:t>Pourquoi adopter une gestion pluriannuelle</w:t>
      </w:r>
      <w:r w:rsidRPr="00A24AB4">
        <w:rPr>
          <w:rFonts w:ascii="Arial" w:hAnsi="Arial" w:cs="Arial"/>
          <w:b/>
          <w:sz w:val="20"/>
          <w:szCs w:val="20"/>
        </w:rPr>
        <w:t> ?</w:t>
      </w:r>
    </w:p>
    <w:p w:rsidR="00457E2C" w:rsidRPr="00A24AB4" w:rsidRDefault="00457E2C" w:rsidP="00E11A27">
      <w:pPr>
        <w:spacing w:after="60"/>
        <w:jc w:val="both"/>
        <w:rPr>
          <w:rFonts w:ascii="Arial" w:hAnsi="Arial" w:cs="Arial"/>
          <w:sz w:val="20"/>
          <w:szCs w:val="20"/>
        </w:rPr>
      </w:pPr>
      <w:r w:rsidRPr="00A24AB4">
        <w:rPr>
          <w:rFonts w:ascii="Arial" w:hAnsi="Arial" w:cs="Arial"/>
          <w:sz w:val="20"/>
          <w:szCs w:val="20"/>
        </w:rPr>
        <w:t>Les prévisions de dépenses sur plusieurs exercices, permettent de fiabiliser les prospectives financières et les arbitrages entre fiscalité/ emprunt sont améliorés :</w:t>
      </w:r>
    </w:p>
    <w:p w:rsidR="00457E2C" w:rsidRDefault="00457E2C" w:rsidP="00E11A27">
      <w:pPr>
        <w:pStyle w:val="Paragraphedeliste"/>
        <w:numPr>
          <w:ilvl w:val="0"/>
          <w:numId w:val="12"/>
        </w:numPr>
        <w:spacing w:after="60"/>
        <w:jc w:val="both"/>
        <w:rPr>
          <w:rFonts w:ascii="Arial" w:hAnsi="Arial" w:cs="Arial"/>
          <w:sz w:val="20"/>
          <w:szCs w:val="20"/>
        </w:rPr>
      </w:pPr>
      <w:r w:rsidRPr="00A24AB4">
        <w:rPr>
          <w:rFonts w:ascii="Arial" w:hAnsi="Arial" w:cs="Arial"/>
          <w:sz w:val="20"/>
          <w:szCs w:val="20"/>
        </w:rPr>
        <w:t>La gestion en AP/</w:t>
      </w:r>
      <w:r w:rsidRPr="00D770CD">
        <w:rPr>
          <w:rFonts w:ascii="Arial" w:hAnsi="Arial" w:cs="Arial"/>
          <w:sz w:val="20"/>
          <w:szCs w:val="20"/>
        </w:rPr>
        <w:t>AE</w:t>
      </w:r>
      <w:r w:rsidRPr="00A24AB4">
        <w:rPr>
          <w:rFonts w:ascii="Arial" w:hAnsi="Arial" w:cs="Arial"/>
          <w:sz w:val="20"/>
          <w:szCs w:val="20"/>
        </w:rPr>
        <w:t xml:space="preserve"> constitue un outil de pilotage</w:t>
      </w:r>
    </w:p>
    <w:p w:rsidR="00457E2C" w:rsidRPr="00A24AB4" w:rsidRDefault="00457E2C" w:rsidP="00457E2C">
      <w:pPr>
        <w:pStyle w:val="Paragraphedeliste"/>
        <w:rPr>
          <w:rFonts w:ascii="Arial" w:hAnsi="Arial" w:cs="Arial"/>
          <w:sz w:val="12"/>
          <w:szCs w:val="12"/>
        </w:rPr>
      </w:pPr>
    </w:p>
    <w:p w:rsidR="00457E2C" w:rsidRPr="00A24AB4" w:rsidRDefault="00457E2C" w:rsidP="00457E2C">
      <w:pPr>
        <w:pStyle w:val="Paragraphedeliste"/>
        <w:numPr>
          <w:ilvl w:val="0"/>
          <w:numId w:val="12"/>
        </w:numPr>
        <w:spacing w:after="60"/>
        <w:jc w:val="both"/>
        <w:rPr>
          <w:rFonts w:ascii="Arial" w:hAnsi="Arial" w:cs="Arial"/>
          <w:sz w:val="20"/>
          <w:szCs w:val="20"/>
        </w:rPr>
      </w:pPr>
      <w:r w:rsidRPr="00A24AB4">
        <w:rPr>
          <w:rFonts w:ascii="Arial" w:hAnsi="Arial" w:cs="Arial"/>
          <w:sz w:val="20"/>
          <w:szCs w:val="20"/>
        </w:rPr>
        <w:t>La gestion AP/AE/CP permet de concilier des logiques différentes :</w:t>
      </w:r>
    </w:p>
    <w:p w:rsidR="00457E2C" w:rsidRPr="00A24AB4" w:rsidRDefault="00457E2C" w:rsidP="00457E2C">
      <w:pPr>
        <w:jc w:val="both"/>
        <w:rPr>
          <w:rFonts w:ascii="Arial" w:hAnsi="Arial" w:cs="Arial"/>
          <w:sz w:val="20"/>
          <w:szCs w:val="20"/>
        </w:rPr>
      </w:pPr>
      <w:r w:rsidRPr="00A24AB4">
        <w:rPr>
          <w:rFonts w:ascii="Arial" w:hAnsi="Arial" w:cs="Arial"/>
          <w:sz w:val="20"/>
          <w:szCs w:val="20"/>
        </w:rPr>
        <w:tab/>
        <w:t xml:space="preserve">1. </w:t>
      </w:r>
      <w:r w:rsidRPr="00A24AB4">
        <w:rPr>
          <w:rFonts w:ascii="Arial" w:hAnsi="Arial" w:cs="Arial"/>
          <w:i/>
          <w:sz w:val="20"/>
          <w:szCs w:val="20"/>
        </w:rPr>
        <w:t>Logique politique</w:t>
      </w:r>
      <w:r w:rsidRPr="00A24AB4">
        <w:rPr>
          <w:rFonts w:ascii="Arial" w:hAnsi="Arial" w:cs="Arial"/>
          <w:sz w:val="20"/>
          <w:szCs w:val="20"/>
        </w:rPr>
        <w:t> : qui souhaite afficher budgétairement ses projets d’investissement,</w:t>
      </w:r>
    </w:p>
    <w:p w:rsidR="00457E2C" w:rsidRPr="00A24AB4" w:rsidRDefault="00457E2C" w:rsidP="00457E2C">
      <w:pPr>
        <w:ind w:left="708"/>
        <w:jc w:val="both"/>
        <w:rPr>
          <w:rFonts w:ascii="Arial" w:hAnsi="Arial" w:cs="Arial"/>
          <w:sz w:val="20"/>
          <w:szCs w:val="20"/>
        </w:rPr>
      </w:pPr>
      <w:r w:rsidRPr="00A24AB4">
        <w:rPr>
          <w:rFonts w:ascii="Arial" w:hAnsi="Arial" w:cs="Arial"/>
          <w:sz w:val="20"/>
          <w:szCs w:val="20"/>
        </w:rPr>
        <w:t xml:space="preserve">2. </w:t>
      </w:r>
      <w:r w:rsidRPr="00A24AB4">
        <w:rPr>
          <w:rFonts w:ascii="Arial" w:hAnsi="Arial" w:cs="Arial"/>
          <w:i/>
          <w:sz w:val="20"/>
          <w:szCs w:val="20"/>
        </w:rPr>
        <w:t>Logique financière</w:t>
      </w:r>
      <w:r w:rsidRPr="00A24AB4">
        <w:rPr>
          <w:rFonts w:ascii="Arial" w:hAnsi="Arial" w:cs="Arial"/>
          <w:sz w:val="20"/>
          <w:szCs w:val="20"/>
        </w:rPr>
        <w:t> : qui cherche à limiter les inscriptions en crédits de l’année à un niveau réaliste,</w:t>
      </w:r>
    </w:p>
    <w:p w:rsidR="00457E2C" w:rsidRPr="00A24AB4" w:rsidRDefault="00457E2C" w:rsidP="00457E2C">
      <w:pPr>
        <w:ind w:left="708"/>
        <w:jc w:val="both"/>
        <w:rPr>
          <w:rFonts w:ascii="Arial" w:hAnsi="Arial" w:cs="Arial"/>
          <w:sz w:val="20"/>
          <w:szCs w:val="20"/>
        </w:rPr>
      </w:pPr>
      <w:r w:rsidRPr="00A24AB4">
        <w:rPr>
          <w:rFonts w:ascii="Arial" w:hAnsi="Arial" w:cs="Arial"/>
          <w:sz w:val="20"/>
          <w:szCs w:val="20"/>
        </w:rPr>
        <w:t xml:space="preserve">3. </w:t>
      </w:r>
      <w:r w:rsidRPr="00A24AB4">
        <w:rPr>
          <w:rFonts w:ascii="Arial" w:hAnsi="Arial" w:cs="Arial"/>
          <w:i/>
          <w:sz w:val="20"/>
          <w:szCs w:val="20"/>
        </w:rPr>
        <w:t>Logique technique</w:t>
      </w:r>
      <w:r w:rsidRPr="00A24AB4">
        <w:rPr>
          <w:rFonts w:ascii="Arial" w:hAnsi="Arial" w:cs="Arial"/>
          <w:sz w:val="20"/>
          <w:szCs w:val="20"/>
        </w:rPr>
        <w:t> : qui souhaite planifier les programmes d’investissement sur plusieurs exercices.</w:t>
      </w:r>
    </w:p>
    <w:p w:rsidR="00457E2C" w:rsidRPr="00A24AB4" w:rsidRDefault="00457E2C" w:rsidP="00541CDB">
      <w:pPr>
        <w:spacing w:before="120" w:after="60"/>
        <w:jc w:val="both"/>
        <w:rPr>
          <w:rFonts w:ascii="Arial" w:hAnsi="Arial" w:cs="Arial"/>
          <w:b/>
          <w:sz w:val="20"/>
          <w:szCs w:val="20"/>
        </w:rPr>
      </w:pPr>
      <w:r w:rsidRPr="00A24AB4">
        <w:rPr>
          <w:rFonts w:ascii="Arial" w:hAnsi="Arial" w:cs="Arial"/>
          <w:b/>
          <w:sz w:val="20"/>
          <w:szCs w:val="20"/>
          <w:u w:val="single"/>
        </w:rPr>
        <w:t>Un suivi rigoureux</w:t>
      </w:r>
      <w:r w:rsidRPr="00A24AB4">
        <w:rPr>
          <w:rFonts w:ascii="Arial" w:hAnsi="Arial" w:cs="Arial"/>
          <w:b/>
          <w:sz w:val="20"/>
          <w:szCs w:val="20"/>
        </w:rPr>
        <w:t xml:space="preserve"> : </w:t>
      </w:r>
    </w:p>
    <w:p w:rsidR="00457E2C" w:rsidRPr="00A24AB4" w:rsidRDefault="00457E2C" w:rsidP="00457E2C">
      <w:pPr>
        <w:spacing w:after="60"/>
        <w:jc w:val="both"/>
        <w:rPr>
          <w:rFonts w:ascii="Arial" w:hAnsi="Arial" w:cs="Arial"/>
          <w:sz w:val="20"/>
          <w:szCs w:val="20"/>
        </w:rPr>
      </w:pPr>
      <w:r w:rsidRPr="00A24AB4">
        <w:rPr>
          <w:rFonts w:ascii="Arial" w:hAnsi="Arial" w:cs="Arial"/>
          <w:sz w:val="20"/>
          <w:szCs w:val="20"/>
        </w:rPr>
        <w:t>En application de l’article L 2311-3 du CGCT, la section d'investissement peut comprendre des Autorisations de Programme et des Crédits de Paiement (AP/CP).</w:t>
      </w:r>
    </w:p>
    <w:p w:rsidR="00457E2C" w:rsidRPr="00712063" w:rsidRDefault="00457E2C" w:rsidP="00457E2C">
      <w:pPr>
        <w:pStyle w:val="Paragraphedeliste"/>
        <w:numPr>
          <w:ilvl w:val="0"/>
          <w:numId w:val="12"/>
        </w:numPr>
        <w:spacing w:after="160"/>
        <w:jc w:val="both"/>
        <w:rPr>
          <w:rFonts w:ascii="Arial" w:hAnsi="Arial" w:cs="Arial"/>
          <w:sz w:val="20"/>
          <w:szCs w:val="20"/>
        </w:rPr>
      </w:pPr>
      <w:r w:rsidRPr="00712063">
        <w:rPr>
          <w:rFonts w:ascii="Arial" w:hAnsi="Arial" w:cs="Arial"/>
          <w:sz w:val="20"/>
          <w:szCs w:val="20"/>
        </w:rPr>
        <w:t xml:space="preserve">Les AP sont les limites supérieures des dépenses qui peuvent être engagées pour le financement des investissements. Elles sont sans limitation de durée jusqu’à leur annulation. Elles peuvent être révisées chaque année. </w:t>
      </w:r>
    </w:p>
    <w:p w:rsidR="00457E2C" w:rsidRPr="00712063" w:rsidRDefault="00457E2C" w:rsidP="00457E2C">
      <w:pPr>
        <w:pStyle w:val="Paragraphedeliste"/>
        <w:numPr>
          <w:ilvl w:val="0"/>
          <w:numId w:val="12"/>
        </w:numPr>
        <w:spacing w:after="120"/>
        <w:jc w:val="both"/>
        <w:rPr>
          <w:rFonts w:ascii="Arial" w:hAnsi="Arial" w:cs="Arial"/>
          <w:sz w:val="20"/>
          <w:szCs w:val="20"/>
        </w:rPr>
      </w:pPr>
      <w:r w:rsidRPr="00712063">
        <w:rPr>
          <w:rFonts w:ascii="Arial" w:hAnsi="Arial" w:cs="Arial"/>
          <w:sz w:val="20"/>
          <w:szCs w:val="20"/>
        </w:rPr>
        <w:t>Les CP constituent la limite supérieure des dépenses pouvant être mandatées pour couvrir les engagements contractés dans le cadre des autorisations de programme.</w:t>
      </w:r>
    </w:p>
    <w:p w:rsidR="00457E2C" w:rsidRPr="00A24AB4" w:rsidRDefault="00457E2C" w:rsidP="00457E2C">
      <w:pPr>
        <w:spacing w:after="60"/>
        <w:jc w:val="both"/>
        <w:rPr>
          <w:rFonts w:ascii="Arial" w:hAnsi="Arial" w:cs="Arial"/>
          <w:sz w:val="20"/>
          <w:szCs w:val="20"/>
        </w:rPr>
      </w:pPr>
      <w:r w:rsidRPr="00A24AB4">
        <w:rPr>
          <w:rFonts w:ascii="Arial" w:hAnsi="Arial" w:cs="Arial"/>
          <w:sz w:val="20"/>
          <w:szCs w:val="20"/>
        </w:rPr>
        <w:t>Il est précisé que la mise en place et le suivi annuel des AP/CP fait l’objet d’une délibération du Conseil Communautaire, distincte de celle du budget.</w:t>
      </w:r>
    </w:p>
    <w:p w:rsidR="00457E2C" w:rsidRPr="00A24AB4" w:rsidRDefault="00457E2C" w:rsidP="00457E2C">
      <w:pPr>
        <w:spacing w:after="60"/>
        <w:jc w:val="both"/>
        <w:rPr>
          <w:rFonts w:ascii="Arial" w:hAnsi="Arial" w:cs="Arial"/>
          <w:sz w:val="20"/>
          <w:szCs w:val="20"/>
        </w:rPr>
      </w:pPr>
      <w:r w:rsidRPr="00A24AB4">
        <w:rPr>
          <w:rFonts w:ascii="Arial" w:hAnsi="Arial" w:cs="Arial"/>
          <w:sz w:val="20"/>
          <w:szCs w:val="20"/>
        </w:rPr>
        <w:t>La délibération initiale fixe l’enveloppe globale de la dépense ainsi que sa répartition dans le temps. Les AP/CP peuvent être révisés : le budget de l’année en cours reprend des CP révisés. Le suivi des AP/CP se fait à chaque étape budgétaire dans un souci d’information des membres du Conseil Communautaire, de suivi et de rigueur.</w:t>
      </w:r>
    </w:p>
    <w:p w:rsidR="00457E2C" w:rsidRPr="00A24AB4" w:rsidRDefault="00457E2C" w:rsidP="00457E2C">
      <w:pPr>
        <w:spacing w:after="60"/>
        <w:jc w:val="both"/>
        <w:rPr>
          <w:rFonts w:ascii="Arial" w:hAnsi="Arial" w:cs="Arial"/>
          <w:sz w:val="20"/>
          <w:szCs w:val="20"/>
        </w:rPr>
      </w:pPr>
      <w:r w:rsidRPr="00A24AB4">
        <w:rPr>
          <w:rFonts w:ascii="Arial" w:hAnsi="Arial" w:cs="Arial"/>
          <w:sz w:val="20"/>
          <w:szCs w:val="20"/>
        </w:rPr>
        <w:t>La Communauté de Communes souhaite mettre en place cette procédure pour le programme d’investissement suivant :</w:t>
      </w:r>
    </w:p>
    <w:p w:rsidR="00457E2C" w:rsidRPr="00712063" w:rsidRDefault="00457E2C" w:rsidP="00457E2C">
      <w:pPr>
        <w:pStyle w:val="Paragraphedeliste"/>
        <w:numPr>
          <w:ilvl w:val="0"/>
          <w:numId w:val="12"/>
        </w:numPr>
        <w:spacing w:after="160"/>
        <w:jc w:val="both"/>
        <w:rPr>
          <w:rFonts w:ascii="Arial" w:hAnsi="Arial" w:cs="Arial"/>
          <w:sz w:val="20"/>
          <w:szCs w:val="20"/>
        </w:rPr>
      </w:pPr>
      <w:r w:rsidRPr="00712063">
        <w:rPr>
          <w:rFonts w:ascii="Arial" w:hAnsi="Arial" w:cs="Arial"/>
          <w:sz w:val="20"/>
          <w:szCs w:val="20"/>
        </w:rPr>
        <w:t>Construction d’une déchèterie/</w:t>
      </w:r>
      <w:proofErr w:type="spellStart"/>
      <w:r w:rsidRPr="00712063">
        <w:rPr>
          <w:rFonts w:ascii="Arial" w:hAnsi="Arial" w:cs="Arial"/>
          <w:sz w:val="20"/>
          <w:szCs w:val="20"/>
        </w:rPr>
        <w:t>ressourcerie</w:t>
      </w:r>
      <w:proofErr w:type="spellEnd"/>
      <w:r w:rsidRPr="00712063">
        <w:rPr>
          <w:rFonts w:ascii="Arial" w:hAnsi="Arial" w:cs="Arial"/>
          <w:sz w:val="20"/>
          <w:szCs w:val="20"/>
        </w:rPr>
        <w:t xml:space="preserve"> sur le site de Vire </w:t>
      </w:r>
    </w:p>
    <w:tbl>
      <w:tblPr>
        <w:tblW w:w="9073" w:type="dxa"/>
        <w:tblCellMar>
          <w:left w:w="70" w:type="dxa"/>
          <w:right w:w="70" w:type="dxa"/>
        </w:tblCellMar>
        <w:tblLook w:val="04A0" w:firstRow="1" w:lastRow="0" w:firstColumn="1" w:lastColumn="0" w:noHBand="0" w:noVBand="1"/>
      </w:tblPr>
      <w:tblGrid>
        <w:gridCol w:w="2977"/>
        <w:gridCol w:w="1276"/>
        <w:gridCol w:w="1276"/>
        <w:gridCol w:w="1187"/>
        <w:gridCol w:w="1081"/>
        <w:gridCol w:w="1276"/>
      </w:tblGrid>
      <w:tr w:rsidR="00457E2C" w:rsidRPr="00A24AB4" w:rsidTr="00582BC0">
        <w:trPr>
          <w:trHeight w:val="242"/>
        </w:trPr>
        <w:tc>
          <w:tcPr>
            <w:tcW w:w="2977" w:type="dxa"/>
            <w:tcBorders>
              <w:top w:val="nil"/>
              <w:left w:val="nil"/>
              <w:bottom w:val="nil"/>
              <w:right w:val="nil"/>
            </w:tcBorders>
            <w:shd w:val="clear" w:color="auto" w:fill="auto"/>
            <w:vAlign w:val="center"/>
            <w:hideMark/>
          </w:tcPr>
          <w:p w:rsidR="00457E2C" w:rsidRPr="00A24AB4" w:rsidRDefault="00457E2C" w:rsidP="00582BC0">
            <w:pPr>
              <w:jc w:val="both"/>
              <w:rPr>
                <w:rFonts w:ascii="Arial" w:hAnsi="Arial" w:cs="Arial"/>
                <w:color w:val="000000"/>
                <w:sz w:val="20"/>
                <w:szCs w:val="20"/>
              </w:rPr>
            </w:pPr>
            <w:r w:rsidRPr="00A24AB4">
              <w:rPr>
                <w:rFonts w:ascii="Arial" w:hAnsi="Arial" w:cs="Arial"/>
                <w:sz w:val="20"/>
                <w:szCs w:val="20"/>
              </w:rPr>
              <w:t xml:space="preserve"> </w:t>
            </w:r>
            <w:r w:rsidRPr="00A24AB4">
              <w:rPr>
                <w:rFonts w:ascii="Arial" w:hAnsi="Arial" w:cs="Arial"/>
                <w:color w:val="000000"/>
                <w:sz w:val="20"/>
                <w:szCs w:val="20"/>
              </w:rPr>
              <w:t>Dépenses prévisionnelles</w:t>
            </w:r>
          </w:p>
        </w:tc>
        <w:tc>
          <w:tcPr>
            <w:tcW w:w="1276"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sz w:val="20"/>
                <w:szCs w:val="20"/>
              </w:rPr>
            </w:pPr>
          </w:p>
        </w:tc>
        <w:tc>
          <w:tcPr>
            <w:tcW w:w="1187"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sz w:val="20"/>
                <w:szCs w:val="20"/>
              </w:rPr>
            </w:pPr>
          </w:p>
        </w:tc>
        <w:tc>
          <w:tcPr>
            <w:tcW w:w="1081"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sz w:val="20"/>
                <w:szCs w:val="20"/>
              </w:rPr>
            </w:pPr>
          </w:p>
        </w:tc>
        <w:tc>
          <w:tcPr>
            <w:tcW w:w="1276"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sz w:val="20"/>
                <w:szCs w:val="20"/>
              </w:rPr>
            </w:pPr>
          </w:p>
        </w:tc>
      </w:tr>
      <w:tr w:rsidR="00457E2C" w:rsidRPr="00A24AB4" w:rsidTr="00582BC0">
        <w:trPr>
          <w:trHeight w:val="242"/>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7E2C" w:rsidRPr="00A24AB4" w:rsidRDefault="00457E2C" w:rsidP="00582BC0">
            <w:pPr>
              <w:jc w:val="both"/>
              <w:rPr>
                <w:rFonts w:ascii="Arial" w:hAnsi="Arial" w:cs="Arial"/>
                <w:b/>
                <w:bCs/>
                <w:color w:val="000000"/>
                <w:sz w:val="20"/>
                <w:szCs w:val="20"/>
              </w:rPr>
            </w:pPr>
            <w:r>
              <w:rPr>
                <w:rFonts w:ascii="Arial" w:hAnsi="Arial" w:cs="Arial"/>
                <w:b/>
                <w:bCs/>
                <w:color w:val="000000"/>
                <w:sz w:val="20"/>
                <w:szCs w:val="20"/>
              </w:rPr>
              <w:t>A</w:t>
            </w:r>
            <w:r w:rsidRPr="00A24AB4">
              <w:rPr>
                <w:rFonts w:ascii="Arial" w:hAnsi="Arial" w:cs="Arial"/>
                <w:b/>
                <w:bCs/>
                <w:color w:val="000000"/>
                <w:sz w:val="20"/>
                <w:szCs w:val="20"/>
              </w:rPr>
              <w:t>utorisation de programme</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b/>
                <w:bCs/>
                <w:color w:val="000000"/>
                <w:sz w:val="20"/>
                <w:szCs w:val="20"/>
              </w:rPr>
            </w:pPr>
            <w:r w:rsidRPr="00A24AB4">
              <w:rPr>
                <w:rFonts w:ascii="Arial" w:hAnsi="Arial" w:cs="Arial"/>
                <w:b/>
                <w:bCs/>
                <w:color w:val="000000"/>
                <w:sz w:val="20"/>
                <w:szCs w:val="20"/>
              </w:rPr>
              <w:t>Total AP</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2022</w:t>
            </w:r>
          </w:p>
        </w:tc>
        <w:tc>
          <w:tcPr>
            <w:tcW w:w="1187"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2023</w:t>
            </w:r>
          </w:p>
        </w:tc>
        <w:tc>
          <w:tcPr>
            <w:tcW w:w="1081"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2024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2025</w:t>
            </w:r>
          </w:p>
        </w:tc>
      </w:tr>
      <w:tr w:rsidR="00457E2C" w:rsidRPr="00A24AB4" w:rsidTr="00582BC0">
        <w:trPr>
          <w:trHeight w:val="242"/>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457E2C" w:rsidRPr="00A24AB4" w:rsidRDefault="00457E2C" w:rsidP="00582BC0">
            <w:pPr>
              <w:ind w:right="-66"/>
              <w:jc w:val="both"/>
              <w:rPr>
                <w:rFonts w:ascii="Arial" w:hAnsi="Arial" w:cs="Arial"/>
                <w:color w:val="000000"/>
                <w:sz w:val="20"/>
                <w:szCs w:val="20"/>
              </w:rPr>
            </w:pPr>
            <w:r>
              <w:rPr>
                <w:rFonts w:ascii="Arial" w:hAnsi="Arial" w:cs="Arial"/>
                <w:color w:val="000000"/>
                <w:sz w:val="20"/>
                <w:szCs w:val="20"/>
              </w:rPr>
              <w:t>Construction d’une déchèterie</w:t>
            </w:r>
          </w:p>
        </w:tc>
        <w:tc>
          <w:tcPr>
            <w:tcW w:w="1276"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b/>
                <w:bCs/>
                <w:color w:val="000000"/>
                <w:sz w:val="20"/>
                <w:szCs w:val="20"/>
              </w:rPr>
            </w:pPr>
            <w:r w:rsidRPr="00A24AB4">
              <w:rPr>
                <w:rFonts w:ascii="Arial" w:hAnsi="Arial" w:cs="Arial"/>
                <w:b/>
                <w:bCs/>
                <w:color w:val="000000"/>
                <w:sz w:val="20"/>
                <w:szCs w:val="20"/>
              </w:rPr>
              <w:t>4 000 000</w:t>
            </w:r>
          </w:p>
        </w:tc>
        <w:tc>
          <w:tcPr>
            <w:tcW w:w="1276"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350 000</w:t>
            </w:r>
          </w:p>
        </w:tc>
        <w:tc>
          <w:tcPr>
            <w:tcW w:w="1187"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1 000 000</w:t>
            </w:r>
          </w:p>
        </w:tc>
        <w:tc>
          <w:tcPr>
            <w:tcW w:w="1081"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2 000 000</w:t>
            </w:r>
          </w:p>
        </w:tc>
        <w:tc>
          <w:tcPr>
            <w:tcW w:w="1276"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 xml:space="preserve">     650 000</w:t>
            </w:r>
          </w:p>
        </w:tc>
      </w:tr>
      <w:tr w:rsidR="00457E2C" w:rsidRPr="00A24AB4" w:rsidTr="00582BC0">
        <w:trPr>
          <w:trHeight w:val="232"/>
        </w:trPr>
        <w:tc>
          <w:tcPr>
            <w:tcW w:w="2977" w:type="dxa"/>
            <w:tcBorders>
              <w:top w:val="nil"/>
              <w:left w:val="nil"/>
              <w:bottom w:val="nil"/>
              <w:right w:val="nil"/>
            </w:tcBorders>
            <w:shd w:val="clear" w:color="auto" w:fill="auto"/>
            <w:noWrap/>
            <w:vAlign w:val="bottom"/>
            <w:hideMark/>
          </w:tcPr>
          <w:p w:rsidR="00457E2C" w:rsidRPr="00A24AB4" w:rsidRDefault="00457E2C" w:rsidP="00582BC0">
            <w:pPr>
              <w:jc w:val="both"/>
              <w:rPr>
                <w:rFonts w:ascii="Arial" w:hAnsi="Arial" w:cs="Arial"/>
                <w:color w:val="000000"/>
                <w:sz w:val="20"/>
                <w:szCs w:val="20"/>
              </w:rPr>
            </w:pPr>
          </w:p>
        </w:tc>
        <w:tc>
          <w:tcPr>
            <w:tcW w:w="1276" w:type="dxa"/>
            <w:tcBorders>
              <w:top w:val="nil"/>
              <w:left w:val="nil"/>
              <w:bottom w:val="nil"/>
              <w:right w:val="nil"/>
            </w:tcBorders>
            <w:shd w:val="clear" w:color="auto" w:fill="auto"/>
            <w:noWrap/>
            <w:vAlign w:val="bottom"/>
            <w:hideMark/>
          </w:tcPr>
          <w:p w:rsidR="00457E2C" w:rsidRPr="00A24AB4" w:rsidRDefault="00457E2C" w:rsidP="00582BC0">
            <w:pPr>
              <w:jc w:val="both"/>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457E2C" w:rsidRPr="00A24AB4" w:rsidRDefault="00457E2C" w:rsidP="00582BC0">
            <w:pPr>
              <w:jc w:val="both"/>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rsidR="00457E2C" w:rsidRPr="00A24AB4" w:rsidRDefault="00457E2C" w:rsidP="00582BC0">
            <w:pPr>
              <w:jc w:val="both"/>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7E2C" w:rsidRPr="00A24AB4" w:rsidRDefault="00457E2C" w:rsidP="00582BC0">
            <w:pPr>
              <w:jc w:val="both"/>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457E2C" w:rsidRPr="00A24AB4" w:rsidRDefault="00457E2C" w:rsidP="00582BC0">
            <w:pPr>
              <w:jc w:val="both"/>
              <w:rPr>
                <w:rFonts w:ascii="Arial" w:hAnsi="Arial" w:cs="Arial"/>
                <w:sz w:val="20"/>
                <w:szCs w:val="20"/>
              </w:rPr>
            </w:pPr>
          </w:p>
        </w:tc>
      </w:tr>
      <w:tr w:rsidR="00457E2C" w:rsidRPr="00A24AB4" w:rsidTr="00582BC0">
        <w:trPr>
          <w:trHeight w:val="242"/>
        </w:trPr>
        <w:tc>
          <w:tcPr>
            <w:tcW w:w="2977" w:type="dxa"/>
            <w:tcBorders>
              <w:top w:val="nil"/>
              <w:left w:val="nil"/>
              <w:bottom w:val="nil"/>
              <w:right w:val="nil"/>
            </w:tcBorders>
            <w:shd w:val="clear" w:color="auto" w:fill="auto"/>
            <w:vAlign w:val="center"/>
            <w:hideMark/>
          </w:tcPr>
          <w:p w:rsidR="00457E2C" w:rsidRPr="00A24AB4" w:rsidRDefault="00457E2C" w:rsidP="00582BC0">
            <w:pPr>
              <w:jc w:val="both"/>
              <w:rPr>
                <w:rFonts w:ascii="Arial" w:hAnsi="Arial" w:cs="Arial"/>
                <w:color w:val="000000"/>
                <w:sz w:val="20"/>
                <w:szCs w:val="20"/>
              </w:rPr>
            </w:pPr>
            <w:r w:rsidRPr="00A24AB4">
              <w:rPr>
                <w:rFonts w:ascii="Arial" w:hAnsi="Arial" w:cs="Arial"/>
                <w:color w:val="000000"/>
                <w:sz w:val="20"/>
                <w:szCs w:val="20"/>
              </w:rPr>
              <w:t>Financements prévisionnelles</w:t>
            </w:r>
          </w:p>
        </w:tc>
        <w:tc>
          <w:tcPr>
            <w:tcW w:w="1276"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sz w:val="20"/>
                <w:szCs w:val="20"/>
              </w:rPr>
            </w:pPr>
          </w:p>
        </w:tc>
        <w:tc>
          <w:tcPr>
            <w:tcW w:w="1187"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sz w:val="20"/>
                <w:szCs w:val="20"/>
              </w:rPr>
            </w:pPr>
          </w:p>
        </w:tc>
        <w:tc>
          <w:tcPr>
            <w:tcW w:w="1081"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sz w:val="20"/>
                <w:szCs w:val="20"/>
              </w:rPr>
            </w:pPr>
          </w:p>
        </w:tc>
        <w:tc>
          <w:tcPr>
            <w:tcW w:w="1276" w:type="dxa"/>
            <w:tcBorders>
              <w:top w:val="nil"/>
              <w:left w:val="nil"/>
              <w:bottom w:val="nil"/>
              <w:right w:val="nil"/>
            </w:tcBorders>
            <w:shd w:val="clear" w:color="auto" w:fill="auto"/>
            <w:noWrap/>
            <w:vAlign w:val="center"/>
            <w:hideMark/>
          </w:tcPr>
          <w:p w:rsidR="00457E2C" w:rsidRPr="00A24AB4" w:rsidRDefault="00457E2C" w:rsidP="00582BC0">
            <w:pPr>
              <w:jc w:val="both"/>
              <w:rPr>
                <w:rFonts w:ascii="Arial" w:hAnsi="Arial" w:cs="Arial"/>
                <w:sz w:val="20"/>
                <w:szCs w:val="20"/>
              </w:rPr>
            </w:pPr>
          </w:p>
        </w:tc>
      </w:tr>
      <w:tr w:rsidR="00457E2C" w:rsidRPr="00A24AB4" w:rsidTr="00582BC0">
        <w:trPr>
          <w:trHeight w:val="242"/>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7E2C" w:rsidRPr="00A24AB4" w:rsidRDefault="00457E2C" w:rsidP="00582BC0">
            <w:pPr>
              <w:jc w:val="both"/>
              <w:rPr>
                <w:rFonts w:ascii="Arial" w:hAnsi="Arial" w:cs="Arial"/>
                <w:b/>
                <w:bCs/>
                <w:color w:val="000000"/>
                <w:sz w:val="20"/>
                <w:szCs w:val="20"/>
              </w:rPr>
            </w:pPr>
            <w:r w:rsidRPr="00A24AB4">
              <w:rPr>
                <w:rFonts w:ascii="Arial" w:hAnsi="Arial" w:cs="Arial"/>
                <w:b/>
                <w:bCs/>
                <w:color w:val="000000"/>
                <w:sz w:val="20"/>
                <w:szCs w:val="20"/>
              </w:rPr>
              <w:t>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b/>
                <w:bCs/>
                <w:color w:val="000000"/>
                <w:sz w:val="20"/>
                <w:szCs w:val="20"/>
              </w:rPr>
            </w:pPr>
            <w:r w:rsidRPr="00A24AB4">
              <w:rPr>
                <w:rFonts w:ascii="Arial" w:hAnsi="Arial" w:cs="Arial"/>
                <w:b/>
                <w:bCs/>
                <w:color w:val="000000"/>
                <w:sz w:val="20"/>
                <w:szCs w:val="20"/>
              </w:rPr>
              <w:t>Total AP</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2022</w:t>
            </w:r>
          </w:p>
        </w:tc>
        <w:tc>
          <w:tcPr>
            <w:tcW w:w="1187"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2023</w:t>
            </w:r>
          </w:p>
        </w:tc>
        <w:tc>
          <w:tcPr>
            <w:tcW w:w="1081"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2024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color w:val="000000"/>
                <w:sz w:val="20"/>
                <w:szCs w:val="20"/>
              </w:rPr>
            </w:pPr>
            <w:r w:rsidRPr="00A24AB4">
              <w:rPr>
                <w:rFonts w:ascii="Arial" w:hAnsi="Arial" w:cs="Arial"/>
                <w:color w:val="000000"/>
                <w:sz w:val="20"/>
                <w:szCs w:val="20"/>
              </w:rPr>
              <w:t>2025</w:t>
            </w:r>
          </w:p>
        </w:tc>
      </w:tr>
      <w:tr w:rsidR="00457E2C" w:rsidRPr="00A24AB4" w:rsidTr="00582BC0">
        <w:trPr>
          <w:trHeight w:val="242"/>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457E2C" w:rsidRPr="00A24AB4" w:rsidRDefault="00457E2C" w:rsidP="00582BC0">
            <w:pPr>
              <w:jc w:val="both"/>
              <w:rPr>
                <w:rFonts w:ascii="Arial" w:hAnsi="Arial" w:cs="Arial"/>
                <w:color w:val="000000"/>
                <w:sz w:val="20"/>
                <w:szCs w:val="20"/>
              </w:rPr>
            </w:pPr>
            <w:r w:rsidRPr="00A24AB4">
              <w:rPr>
                <w:rFonts w:ascii="Arial" w:hAnsi="Arial" w:cs="Arial"/>
                <w:color w:val="000000"/>
                <w:sz w:val="20"/>
                <w:szCs w:val="20"/>
              </w:rPr>
              <w:t>Emprunt</w:t>
            </w:r>
          </w:p>
        </w:tc>
        <w:tc>
          <w:tcPr>
            <w:tcW w:w="1276"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b/>
                <w:bCs/>
                <w:color w:val="000000"/>
                <w:sz w:val="20"/>
                <w:szCs w:val="20"/>
              </w:rPr>
            </w:pPr>
            <w:r w:rsidRPr="00A24AB4">
              <w:rPr>
                <w:rFonts w:ascii="Arial" w:hAnsi="Arial" w:cs="Arial"/>
                <w:b/>
                <w:bCs/>
                <w:color w:val="000000"/>
                <w:sz w:val="20"/>
                <w:szCs w:val="20"/>
              </w:rPr>
              <w:t>3 800 000</w:t>
            </w:r>
          </w:p>
        </w:tc>
        <w:tc>
          <w:tcPr>
            <w:tcW w:w="1276"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r w:rsidRPr="00A24AB4">
              <w:rPr>
                <w:rFonts w:ascii="Arial" w:hAnsi="Arial" w:cs="Arial"/>
                <w:color w:val="000000"/>
                <w:sz w:val="20"/>
                <w:szCs w:val="20"/>
              </w:rPr>
              <w:t> </w:t>
            </w:r>
          </w:p>
        </w:tc>
        <w:tc>
          <w:tcPr>
            <w:tcW w:w="1187"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r w:rsidRPr="00A24AB4">
              <w:rPr>
                <w:rFonts w:ascii="Arial" w:hAnsi="Arial" w:cs="Arial"/>
                <w:color w:val="000000"/>
                <w:sz w:val="20"/>
                <w:szCs w:val="20"/>
              </w:rPr>
              <w:t> </w:t>
            </w:r>
          </w:p>
        </w:tc>
        <w:tc>
          <w:tcPr>
            <w:tcW w:w="1081"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r w:rsidRPr="00A24AB4">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r w:rsidRPr="00A24AB4">
              <w:rPr>
                <w:rFonts w:ascii="Arial" w:hAnsi="Arial" w:cs="Arial"/>
                <w:color w:val="000000"/>
                <w:sz w:val="20"/>
                <w:szCs w:val="20"/>
              </w:rPr>
              <w:t> </w:t>
            </w:r>
          </w:p>
        </w:tc>
      </w:tr>
      <w:tr w:rsidR="00457E2C" w:rsidRPr="00A24AB4" w:rsidTr="00582BC0">
        <w:trPr>
          <w:trHeight w:val="232"/>
        </w:trPr>
        <w:tc>
          <w:tcPr>
            <w:tcW w:w="2977" w:type="dxa"/>
            <w:tcBorders>
              <w:top w:val="nil"/>
              <w:left w:val="single" w:sz="8" w:space="0" w:color="auto"/>
              <w:bottom w:val="nil"/>
              <w:right w:val="single" w:sz="8" w:space="0" w:color="auto"/>
            </w:tcBorders>
            <w:shd w:val="clear" w:color="auto" w:fill="auto"/>
            <w:vAlign w:val="center"/>
            <w:hideMark/>
          </w:tcPr>
          <w:p w:rsidR="00457E2C" w:rsidRPr="00A24AB4" w:rsidRDefault="00457E2C" w:rsidP="00582BC0">
            <w:pPr>
              <w:jc w:val="both"/>
              <w:rPr>
                <w:rFonts w:ascii="Arial" w:hAnsi="Arial" w:cs="Arial"/>
                <w:color w:val="000000"/>
                <w:sz w:val="20"/>
                <w:szCs w:val="20"/>
              </w:rPr>
            </w:pPr>
            <w:r w:rsidRPr="00A24AB4">
              <w:rPr>
                <w:rFonts w:ascii="Arial" w:hAnsi="Arial" w:cs="Arial"/>
                <w:color w:val="000000"/>
                <w:sz w:val="20"/>
                <w:szCs w:val="20"/>
              </w:rPr>
              <w:t>FCTVA</w:t>
            </w:r>
          </w:p>
        </w:tc>
        <w:tc>
          <w:tcPr>
            <w:tcW w:w="1276" w:type="dxa"/>
            <w:tcBorders>
              <w:top w:val="nil"/>
              <w:left w:val="nil"/>
              <w:bottom w:val="nil"/>
              <w:right w:val="single" w:sz="8" w:space="0" w:color="auto"/>
            </w:tcBorders>
            <w:shd w:val="clear" w:color="auto" w:fill="auto"/>
            <w:noWrap/>
            <w:vAlign w:val="center"/>
            <w:hideMark/>
          </w:tcPr>
          <w:p w:rsidR="00457E2C" w:rsidRPr="00A24AB4" w:rsidRDefault="00457E2C" w:rsidP="00582BC0">
            <w:pPr>
              <w:jc w:val="right"/>
              <w:rPr>
                <w:rFonts w:ascii="Arial" w:hAnsi="Arial" w:cs="Arial"/>
                <w:b/>
                <w:bCs/>
                <w:color w:val="000000"/>
                <w:sz w:val="20"/>
                <w:szCs w:val="20"/>
              </w:rPr>
            </w:pPr>
          </w:p>
        </w:tc>
        <w:tc>
          <w:tcPr>
            <w:tcW w:w="1276" w:type="dxa"/>
            <w:tcBorders>
              <w:top w:val="nil"/>
              <w:left w:val="nil"/>
              <w:bottom w:val="nil"/>
              <w:right w:val="single" w:sz="8" w:space="0" w:color="auto"/>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p>
        </w:tc>
        <w:tc>
          <w:tcPr>
            <w:tcW w:w="1187" w:type="dxa"/>
            <w:tcBorders>
              <w:top w:val="nil"/>
              <w:left w:val="nil"/>
              <w:bottom w:val="nil"/>
              <w:right w:val="single" w:sz="8" w:space="0" w:color="auto"/>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p>
        </w:tc>
        <w:tc>
          <w:tcPr>
            <w:tcW w:w="1081" w:type="dxa"/>
            <w:tcBorders>
              <w:top w:val="nil"/>
              <w:left w:val="nil"/>
              <w:bottom w:val="nil"/>
              <w:right w:val="single" w:sz="8" w:space="0" w:color="auto"/>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p>
        </w:tc>
        <w:tc>
          <w:tcPr>
            <w:tcW w:w="1276" w:type="dxa"/>
            <w:tcBorders>
              <w:top w:val="nil"/>
              <w:left w:val="nil"/>
              <w:bottom w:val="nil"/>
              <w:right w:val="single" w:sz="8" w:space="0" w:color="auto"/>
            </w:tcBorders>
            <w:shd w:val="clear" w:color="auto" w:fill="auto"/>
            <w:noWrap/>
            <w:vAlign w:val="center"/>
            <w:hideMark/>
          </w:tcPr>
          <w:p w:rsidR="00457E2C" w:rsidRPr="00A24AB4" w:rsidRDefault="00457E2C" w:rsidP="00582BC0">
            <w:pPr>
              <w:jc w:val="both"/>
              <w:rPr>
                <w:rFonts w:ascii="Arial" w:hAnsi="Arial" w:cs="Arial"/>
                <w:color w:val="000000"/>
                <w:sz w:val="20"/>
                <w:szCs w:val="20"/>
              </w:rPr>
            </w:pPr>
          </w:p>
        </w:tc>
      </w:tr>
      <w:tr w:rsidR="00457E2C" w:rsidRPr="00A24AB4" w:rsidTr="00582BC0">
        <w:trPr>
          <w:trHeight w:val="242"/>
        </w:trPr>
        <w:tc>
          <w:tcPr>
            <w:tcW w:w="2977" w:type="dxa"/>
            <w:tcBorders>
              <w:top w:val="nil"/>
              <w:left w:val="single" w:sz="8" w:space="0" w:color="auto"/>
              <w:bottom w:val="nil"/>
              <w:right w:val="single" w:sz="8" w:space="0" w:color="auto"/>
            </w:tcBorders>
            <w:shd w:val="clear" w:color="000000" w:fill="DDEBF7"/>
            <w:vAlign w:val="center"/>
            <w:hideMark/>
          </w:tcPr>
          <w:p w:rsidR="00457E2C" w:rsidRPr="00A24AB4" w:rsidRDefault="00457E2C" w:rsidP="00582BC0">
            <w:pPr>
              <w:jc w:val="both"/>
              <w:rPr>
                <w:rFonts w:ascii="Arial" w:hAnsi="Arial" w:cs="Arial"/>
                <w:color w:val="000000"/>
                <w:sz w:val="20"/>
                <w:szCs w:val="20"/>
              </w:rPr>
            </w:pPr>
            <w:r w:rsidRPr="00A24AB4">
              <w:rPr>
                <w:rFonts w:ascii="Arial" w:hAnsi="Arial" w:cs="Arial"/>
                <w:color w:val="000000"/>
                <w:sz w:val="20"/>
                <w:szCs w:val="20"/>
              </w:rPr>
              <w:t>Fonds propre</w:t>
            </w:r>
          </w:p>
        </w:tc>
        <w:tc>
          <w:tcPr>
            <w:tcW w:w="1276" w:type="dxa"/>
            <w:tcBorders>
              <w:top w:val="nil"/>
              <w:left w:val="nil"/>
              <w:bottom w:val="nil"/>
              <w:right w:val="single" w:sz="8" w:space="0" w:color="auto"/>
            </w:tcBorders>
            <w:shd w:val="clear" w:color="000000" w:fill="DDEBF7"/>
            <w:noWrap/>
            <w:vAlign w:val="center"/>
            <w:hideMark/>
          </w:tcPr>
          <w:p w:rsidR="00457E2C" w:rsidRPr="00A24AB4" w:rsidRDefault="00457E2C" w:rsidP="00582BC0">
            <w:pPr>
              <w:jc w:val="right"/>
              <w:rPr>
                <w:rFonts w:ascii="Arial" w:hAnsi="Arial" w:cs="Arial"/>
                <w:b/>
                <w:bCs/>
                <w:color w:val="000000"/>
                <w:sz w:val="20"/>
                <w:szCs w:val="20"/>
              </w:rPr>
            </w:pPr>
            <w:r w:rsidRPr="00A24AB4">
              <w:rPr>
                <w:rFonts w:ascii="Arial" w:hAnsi="Arial" w:cs="Arial"/>
                <w:b/>
                <w:bCs/>
                <w:color w:val="000000"/>
                <w:sz w:val="20"/>
                <w:szCs w:val="20"/>
              </w:rPr>
              <w:t>200 000</w:t>
            </w:r>
          </w:p>
        </w:tc>
        <w:tc>
          <w:tcPr>
            <w:tcW w:w="1276" w:type="dxa"/>
            <w:tcBorders>
              <w:top w:val="nil"/>
              <w:left w:val="nil"/>
              <w:bottom w:val="nil"/>
              <w:right w:val="single" w:sz="8" w:space="0" w:color="auto"/>
            </w:tcBorders>
            <w:shd w:val="clear" w:color="000000" w:fill="DDEBF7"/>
            <w:noWrap/>
            <w:vAlign w:val="center"/>
            <w:hideMark/>
          </w:tcPr>
          <w:p w:rsidR="00457E2C" w:rsidRPr="00A24AB4" w:rsidRDefault="00457E2C" w:rsidP="00582BC0">
            <w:pPr>
              <w:jc w:val="both"/>
              <w:rPr>
                <w:rFonts w:ascii="Arial" w:hAnsi="Arial" w:cs="Arial"/>
                <w:color w:val="000000"/>
                <w:sz w:val="20"/>
                <w:szCs w:val="20"/>
              </w:rPr>
            </w:pPr>
          </w:p>
        </w:tc>
        <w:tc>
          <w:tcPr>
            <w:tcW w:w="1187" w:type="dxa"/>
            <w:tcBorders>
              <w:top w:val="nil"/>
              <w:left w:val="nil"/>
              <w:bottom w:val="nil"/>
              <w:right w:val="single" w:sz="8" w:space="0" w:color="auto"/>
            </w:tcBorders>
            <w:shd w:val="clear" w:color="000000" w:fill="DDEBF7"/>
            <w:noWrap/>
            <w:vAlign w:val="center"/>
            <w:hideMark/>
          </w:tcPr>
          <w:p w:rsidR="00457E2C" w:rsidRPr="00A24AB4" w:rsidRDefault="00457E2C" w:rsidP="00582BC0">
            <w:pPr>
              <w:jc w:val="both"/>
              <w:rPr>
                <w:rFonts w:ascii="Arial" w:hAnsi="Arial" w:cs="Arial"/>
                <w:color w:val="000000"/>
                <w:sz w:val="20"/>
                <w:szCs w:val="20"/>
              </w:rPr>
            </w:pPr>
          </w:p>
        </w:tc>
        <w:tc>
          <w:tcPr>
            <w:tcW w:w="1081" w:type="dxa"/>
            <w:tcBorders>
              <w:top w:val="nil"/>
              <w:left w:val="nil"/>
              <w:bottom w:val="nil"/>
              <w:right w:val="single" w:sz="8" w:space="0" w:color="auto"/>
            </w:tcBorders>
            <w:shd w:val="clear" w:color="000000" w:fill="DDEBF7"/>
            <w:noWrap/>
            <w:vAlign w:val="center"/>
            <w:hideMark/>
          </w:tcPr>
          <w:p w:rsidR="00457E2C" w:rsidRPr="00A24AB4" w:rsidRDefault="00457E2C" w:rsidP="00582BC0">
            <w:pPr>
              <w:jc w:val="both"/>
              <w:rPr>
                <w:rFonts w:ascii="Arial" w:hAnsi="Arial" w:cs="Arial"/>
                <w:color w:val="000000"/>
                <w:sz w:val="20"/>
                <w:szCs w:val="20"/>
              </w:rPr>
            </w:pPr>
          </w:p>
        </w:tc>
        <w:tc>
          <w:tcPr>
            <w:tcW w:w="1276" w:type="dxa"/>
            <w:tcBorders>
              <w:top w:val="nil"/>
              <w:left w:val="nil"/>
              <w:bottom w:val="nil"/>
              <w:right w:val="single" w:sz="8" w:space="0" w:color="auto"/>
            </w:tcBorders>
            <w:shd w:val="clear" w:color="000000" w:fill="DDEBF7"/>
            <w:noWrap/>
            <w:vAlign w:val="center"/>
            <w:hideMark/>
          </w:tcPr>
          <w:p w:rsidR="00457E2C" w:rsidRPr="00A24AB4" w:rsidRDefault="00457E2C" w:rsidP="00582BC0">
            <w:pPr>
              <w:jc w:val="both"/>
              <w:rPr>
                <w:rFonts w:ascii="Arial" w:hAnsi="Arial" w:cs="Arial"/>
                <w:color w:val="000000"/>
                <w:sz w:val="20"/>
                <w:szCs w:val="20"/>
              </w:rPr>
            </w:pPr>
          </w:p>
        </w:tc>
      </w:tr>
      <w:tr w:rsidR="00457E2C" w:rsidRPr="00A24AB4" w:rsidTr="00582BC0">
        <w:trPr>
          <w:trHeight w:val="252"/>
        </w:trPr>
        <w:tc>
          <w:tcPr>
            <w:tcW w:w="2977" w:type="dxa"/>
            <w:tcBorders>
              <w:top w:val="double" w:sz="6" w:space="0" w:color="auto"/>
              <w:left w:val="single" w:sz="8" w:space="0" w:color="auto"/>
              <w:bottom w:val="single" w:sz="8" w:space="0" w:color="auto"/>
              <w:right w:val="single" w:sz="8" w:space="0" w:color="auto"/>
            </w:tcBorders>
            <w:shd w:val="clear" w:color="auto" w:fill="auto"/>
            <w:vAlign w:val="center"/>
            <w:hideMark/>
          </w:tcPr>
          <w:p w:rsidR="00457E2C" w:rsidRPr="00A24AB4" w:rsidRDefault="00457E2C" w:rsidP="00582BC0">
            <w:pPr>
              <w:jc w:val="both"/>
              <w:rPr>
                <w:rFonts w:ascii="Arial" w:hAnsi="Arial" w:cs="Arial"/>
                <w:b/>
                <w:bCs/>
                <w:color w:val="000000"/>
                <w:sz w:val="20"/>
                <w:szCs w:val="20"/>
              </w:rPr>
            </w:pPr>
            <w:r w:rsidRPr="00A24AB4">
              <w:rPr>
                <w:rFonts w:ascii="Arial" w:hAnsi="Arial" w:cs="Arial"/>
                <w:b/>
                <w:bCs/>
                <w:color w:val="000000"/>
                <w:sz w:val="20"/>
                <w:szCs w:val="20"/>
              </w:rPr>
              <w:t>Total des financements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right"/>
              <w:rPr>
                <w:rFonts w:ascii="Arial" w:hAnsi="Arial" w:cs="Arial"/>
                <w:b/>
                <w:bCs/>
                <w:color w:val="000000"/>
                <w:sz w:val="20"/>
                <w:szCs w:val="20"/>
              </w:rPr>
            </w:pPr>
            <w:r w:rsidRPr="00A24AB4">
              <w:rPr>
                <w:rFonts w:ascii="Arial" w:hAnsi="Arial" w:cs="Arial"/>
                <w:b/>
                <w:bCs/>
                <w:color w:val="000000"/>
                <w:sz w:val="20"/>
                <w:szCs w:val="20"/>
              </w:rPr>
              <w:t>4 000 000</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both"/>
              <w:rPr>
                <w:rFonts w:ascii="Arial" w:hAnsi="Arial" w:cs="Arial"/>
                <w:b/>
                <w:bCs/>
                <w:color w:val="000000"/>
                <w:sz w:val="20"/>
                <w:szCs w:val="20"/>
              </w:rPr>
            </w:pPr>
          </w:p>
        </w:tc>
        <w:tc>
          <w:tcPr>
            <w:tcW w:w="1187" w:type="dxa"/>
            <w:tcBorders>
              <w:top w:val="double" w:sz="6"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both"/>
              <w:rPr>
                <w:rFonts w:ascii="Arial" w:hAnsi="Arial" w:cs="Arial"/>
                <w:b/>
                <w:bCs/>
                <w:color w:val="000000"/>
                <w:sz w:val="20"/>
                <w:szCs w:val="20"/>
              </w:rPr>
            </w:pPr>
          </w:p>
        </w:tc>
        <w:tc>
          <w:tcPr>
            <w:tcW w:w="1081" w:type="dxa"/>
            <w:tcBorders>
              <w:top w:val="double" w:sz="6"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both"/>
              <w:rPr>
                <w:rFonts w:ascii="Arial" w:hAnsi="Arial" w:cs="Arial"/>
                <w:b/>
                <w:bCs/>
                <w:color w:val="000000"/>
                <w:sz w:val="20"/>
                <w:szCs w:val="20"/>
              </w:rPr>
            </w:pP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457E2C" w:rsidRPr="00A24AB4" w:rsidRDefault="00457E2C" w:rsidP="00582BC0">
            <w:pPr>
              <w:jc w:val="both"/>
              <w:rPr>
                <w:rFonts w:ascii="Arial" w:hAnsi="Arial" w:cs="Arial"/>
                <w:b/>
                <w:bCs/>
                <w:color w:val="000000"/>
                <w:sz w:val="20"/>
                <w:szCs w:val="20"/>
              </w:rPr>
            </w:pPr>
          </w:p>
        </w:tc>
      </w:tr>
    </w:tbl>
    <w:p w:rsidR="00457E2C" w:rsidRDefault="00457E2C" w:rsidP="00E11A27">
      <w:pPr>
        <w:spacing w:before="240" w:after="120"/>
        <w:jc w:val="both"/>
        <w:rPr>
          <w:rFonts w:ascii="Arial" w:hAnsi="Arial" w:cs="Arial"/>
          <w:b/>
          <w:sz w:val="20"/>
          <w:szCs w:val="20"/>
        </w:rPr>
      </w:pPr>
      <w:r>
        <w:rPr>
          <w:rFonts w:ascii="Arial" w:hAnsi="Arial" w:cs="Arial"/>
          <w:b/>
          <w:sz w:val="20"/>
          <w:szCs w:val="20"/>
        </w:rPr>
        <w:lastRenderedPageBreak/>
        <w:t>S</w:t>
      </w:r>
      <w:r w:rsidRPr="0043484E">
        <w:rPr>
          <w:rFonts w:ascii="Arial" w:hAnsi="Arial" w:cs="Arial"/>
          <w:b/>
          <w:sz w:val="20"/>
          <w:szCs w:val="20"/>
        </w:rPr>
        <w:t>uivant les avis favorables de la commission « Finances, Moyens Généraux et Personnel » réunie le 16 mars 2022 et du Bureau communautaire réuni le 21 mars 2022</w:t>
      </w:r>
      <w:r>
        <w:rPr>
          <w:rFonts w:ascii="Arial" w:hAnsi="Arial" w:cs="Arial"/>
          <w:b/>
          <w:sz w:val="20"/>
          <w:szCs w:val="20"/>
        </w:rPr>
        <w:t xml:space="preserve">, : il est ainsi demandé au Conseil communautaire : </w:t>
      </w:r>
    </w:p>
    <w:p w:rsidR="00457E2C" w:rsidRDefault="00457E2C" w:rsidP="00457E2C">
      <w:pPr>
        <w:pStyle w:val="Paragraphedeliste"/>
        <w:numPr>
          <w:ilvl w:val="0"/>
          <w:numId w:val="12"/>
        </w:numPr>
        <w:spacing w:after="160"/>
        <w:jc w:val="both"/>
        <w:rPr>
          <w:rFonts w:ascii="Arial" w:hAnsi="Arial" w:cs="Arial"/>
          <w:sz w:val="20"/>
          <w:szCs w:val="20"/>
        </w:rPr>
      </w:pPr>
      <w:r w:rsidRPr="00712063">
        <w:rPr>
          <w:rFonts w:ascii="Arial" w:hAnsi="Arial" w:cs="Arial"/>
          <w:sz w:val="20"/>
          <w:szCs w:val="20"/>
        </w:rPr>
        <w:t>d’approuver le principe de la mise en place d’une Autorisation de Programme et de Crédit de Paiement associés (AP/CP)</w:t>
      </w:r>
      <w:r>
        <w:rPr>
          <w:rFonts w:ascii="Arial" w:hAnsi="Arial" w:cs="Arial"/>
          <w:sz w:val="20"/>
          <w:szCs w:val="20"/>
        </w:rPr>
        <w:t>,</w:t>
      </w:r>
    </w:p>
    <w:p w:rsidR="00457E2C" w:rsidRPr="00712063" w:rsidRDefault="00457E2C" w:rsidP="00457E2C">
      <w:pPr>
        <w:pStyle w:val="Paragraphedeliste"/>
        <w:jc w:val="both"/>
        <w:rPr>
          <w:rFonts w:ascii="Arial" w:hAnsi="Arial" w:cs="Arial"/>
          <w:sz w:val="12"/>
          <w:szCs w:val="12"/>
        </w:rPr>
      </w:pPr>
    </w:p>
    <w:p w:rsidR="00457E2C" w:rsidRDefault="00457E2C" w:rsidP="00457E2C">
      <w:pPr>
        <w:pStyle w:val="Paragraphedeliste"/>
        <w:numPr>
          <w:ilvl w:val="0"/>
          <w:numId w:val="12"/>
        </w:numPr>
        <w:spacing w:before="240" w:after="160"/>
        <w:jc w:val="both"/>
        <w:rPr>
          <w:rFonts w:ascii="Arial" w:hAnsi="Arial" w:cs="Arial"/>
          <w:sz w:val="20"/>
          <w:szCs w:val="20"/>
        </w:rPr>
      </w:pPr>
      <w:r w:rsidRPr="00712063">
        <w:rPr>
          <w:rFonts w:ascii="Arial" w:hAnsi="Arial" w:cs="Arial"/>
          <w:sz w:val="20"/>
          <w:szCs w:val="20"/>
        </w:rPr>
        <w:t>d’approuver la création d’Autorisation de Programme telles que décrites ci-dessus,</w:t>
      </w:r>
    </w:p>
    <w:p w:rsidR="00457E2C" w:rsidRPr="00712063" w:rsidRDefault="00457E2C" w:rsidP="00457E2C">
      <w:pPr>
        <w:pStyle w:val="Paragraphedeliste"/>
        <w:jc w:val="both"/>
        <w:rPr>
          <w:rFonts w:ascii="Arial" w:hAnsi="Arial" w:cs="Arial"/>
          <w:sz w:val="12"/>
          <w:szCs w:val="12"/>
        </w:rPr>
      </w:pPr>
    </w:p>
    <w:p w:rsidR="00457E2C" w:rsidRPr="00712063" w:rsidRDefault="00457E2C" w:rsidP="00457E2C">
      <w:pPr>
        <w:pStyle w:val="Paragraphedeliste"/>
        <w:numPr>
          <w:ilvl w:val="0"/>
          <w:numId w:val="12"/>
        </w:numPr>
        <w:spacing w:after="160"/>
        <w:jc w:val="both"/>
        <w:rPr>
          <w:rFonts w:ascii="Arial" w:hAnsi="Arial" w:cs="Arial"/>
          <w:sz w:val="20"/>
          <w:szCs w:val="20"/>
        </w:rPr>
      </w:pPr>
      <w:r w:rsidRPr="00712063">
        <w:rPr>
          <w:rFonts w:ascii="Arial" w:hAnsi="Arial" w:cs="Arial"/>
          <w:sz w:val="20"/>
          <w:szCs w:val="20"/>
        </w:rPr>
        <w:t>d’autoriser Monsieur le Président ou son représentant à engager les dépenses de l’opération précitée ; à hauteur de l’Autorisation de Programme et à mandater les dépenses afférentes,</w:t>
      </w:r>
    </w:p>
    <w:p w:rsidR="00457E2C" w:rsidRPr="00712063" w:rsidRDefault="00457E2C" w:rsidP="00457E2C">
      <w:pPr>
        <w:pStyle w:val="Paragraphedeliste"/>
        <w:jc w:val="both"/>
        <w:rPr>
          <w:rFonts w:ascii="Arial" w:hAnsi="Arial" w:cs="Arial"/>
          <w:sz w:val="12"/>
          <w:szCs w:val="12"/>
        </w:rPr>
      </w:pPr>
    </w:p>
    <w:p w:rsidR="00457E2C" w:rsidRPr="00712063" w:rsidRDefault="00457E2C" w:rsidP="00457E2C">
      <w:pPr>
        <w:pStyle w:val="Paragraphedeliste"/>
        <w:numPr>
          <w:ilvl w:val="0"/>
          <w:numId w:val="12"/>
        </w:numPr>
        <w:jc w:val="both"/>
        <w:rPr>
          <w:rFonts w:ascii="Arial" w:hAnsi="Arial" w:cs="Arial"/>
          <w:sz w:val="20"/>
          <w:szCs w:val="20"/>
        </w:rPr>
      </w:pPr>
      <w:r w:rsidRPr="00712063">
        <w:rPr>
          <w:rFonts w:ascii="Arial" w:hAnsi="Arial" w:cs="Arial"/>
          <w:sz w:val="20"/>
          <w:szCs w:val="20"/>
        </w:rPr>
        <w:t>de préciser que les crédits de paiement de 2022 sont inscrits au budget 2022.</w:t>
      </w:r>
    </w:p>
    <w:p w:rsidR="004F52C3" w:rsidRPr="00541CDB" w:rsidRDefault="00541CDB" w:rsidP="00541CDB">
      <w:pPr>
        <w:tabs>
          <w:tab w:val="left" w:pos="1548"/>
        </w:tabs>
        <w:ind w:right="-290"/>
        <w:jc w:val="both"/>
        <w:rPr>
          <w:rFonts w:ascii="Arial" w:hAnsi="Arial" w:cs="Arial"/>
          <w:sz w:val="12"/>
          <w:szCs w:val="12"/>
        </w:rPr>
      </w:pPr>
      <w:r>
        <w:rPr>
          <w:rFonts w:ascii="Arial" w:hAnsi="Arial" w:cs="Arial"/>
          <w:sz w:val="20"/>
          <w:szCs w:val="20"/>
        </w:rPr>
        <w:tab/>
      </w:r>
    </w:p>
    <w:p w:rsidR="00103956" w:rsidRPr="00541CDB" w:rsidRDefault="00541CDB" w:rsidP="00541CDB">
      <w:pPr>
        <w:tabs>
          <w:tab w:val="left" w:pos="912"/>
        </w:tabs>
        <w:ind w:right="-290"/>
        <w:jc w:val="both"/>
        <w:rPr>
          <w:rFonts w:ascii="Arial" w:hAnsi="Arial" w:cs="Arial"/>
          <w:sz w:val="12"/>
          <w:szCs w:val="12"/>
        </w:rPr>
      </w:pPr>
      <w:r>
        <w:rPr>
          <w:rFonts w:ascii="Arial" w:hAnsi="Arial" w:cs="Arial"/>
          <w:sz w:val="20"/>
          <w:szCs w:val="20"/>
        </w:rPr>
        <w:tab/>
      </w: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541CDB">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541CDB" w:rsidRPr="003346E0" w:rsidRDefault="00541CDB" w:rsidP="00541CDB">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541CDB" w:rsidTr="00AC2E7E">
        <w:tc>
          <w:tcPr>
            <w:tcW w:w="9210" w:type="dxa"/>
            <w:gridSpan w:val="6"/>
          </w:tcPr>
          <w:p w:rsidR="00541CDB" w:rsidRDefault="00541CDB" w:rsidP="00AC2E7E">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541CDB" w:rsidRPr="003346E0" w:rsidTr="00AC2E7E">
        <w:tc>
          <w:tcPr>
            <w:tcW w:w="9210" w:type="dxa"/>
            <w:gridSpan w:val="6"/>
          </w:tcPr>
          <w:p w:rsidR="00541CDB" w:rsidRPr="003346E0" w:rsidRDefault="00541CDB" w:rsidP="00AC2E7E">
            <w:pPr>
              <w:ind w:right="-2"/>
              <w:jc w:val="both"/>
              <w:rPr>
                <w:rFonts w:ascii="Arial" w:hAnsi="Arial" w:cs="Arial"/>
                <w:sz w:val="12"/>
                <w:szCs w:val="12"/>
              </w:rPr>
            </w:pPr>
          </w:p>
        </w:tc>
      </w:tr>
      <w:tr w:rsidR="00541CDB" w:rsidTr="00AC2E7E">
        <w:tc>
          <w:tcPr>
            <w:tcW w:w="1535" w:type="dxa"/>
          </w:tcPr>
          <w:p w:rsidR="00541CDB" w:rsidRDefault="00541CDB" w:rsidP="00AC2E7E">
            <w:pPr>
              <w:ind w:right="-2"/>
              <w:jc w:val="center"/>
              <w:rPr>
                <w:rFonts w:ascii="Arial" w:hAnsi="Arial" w:cs="Arial"/>
                <w:sz w:val="20"/>
                <w:szCs w:val="20"/>
              </w:rPr>
            </w:pPr>
            <w:r>
              <w:rPr>
                <w:rFonts w:ascii="Arial" w:hAnsi="Arial" w:cs="Arial"/>
                <w:sz w:val="20"/>
                <w:szCs w:val="20"/>
              </w:rPr>
              <w:t>Pour :</w:t>
            </w:r>
          </w:p>
        </w:tc>
        <w:tc>
          <w:tcPr>
            <w:tcW w:w="1535" w:type="dxa"/>
          </w:tcPr>
          <w:p w:rsidR="00541CDB" w:rsidRPr="009719AB" w:rsidRDefault="00541CDB" w:rsidP="00AC2E7E">
            <w:pPr>
              <w:ind w:right="-2"/>
              <w:jc w:val="center"/>
              <w:rPr>
                <w:rFonts w:ascii="Arial" w:hAnsi="Arial" w:cs="Arial"/>
                <w:b/>
                <w:sz w:val="20"/>
                <w:szCs w:val="20"/>
              </w:rPr>
            </w:pPr>
            <w:r>
              <w:rPr>
                <w:rFonts w:ascii="Arial" w:hAnsi="Arial" w:cs="Arial"/>
                <w:b/>
                <w:sz w:val="20"/>
                <w:szCs w:val="20"/>
              </w:rPr>
              <w:t>52</w:t>
            </w:r>
          </w:p>
        </w:tc>
        <w:tc>
          <w:tcPr>
            <w:tcW w:w="1535" w:type="dxa"/>
          </w:tcPr>
          <w:p w:rsidR="00541CDB" w:rsidRDefault="00541CDB" w:rsidP="00AC2E7E">
            <w:pPr>
              <w:ind w:right="-2"/>
              <w:jc w:val="center"/>
              <w:rPr>
                <w:rFonts w:ascii="Arial" w:hAnsi="Arial" w:cs="Arial"/>
                <w:sz w:val="20"/>
                <w:szCs w:val="20"/>
              </w:rPr>
            </w:pPr>
            <w:r>
              <w:rPr>
                <w:rFonts w:ascii="Arial" w:hAnsi="Arial" w:cs="Arial"/>
                <w:sz w:val="20"/>
                <w:szCs w:val="20"/>
              </w:rPr>
              <w:t>Contre :</w:t>
            </w:r>
          </w:p>
        </w:tc>
        <w:tc>
          <w:tcPr>
            <w:tcW w:w="1535" w:type="dxa"/>
          </w:tcPr>
          <w:p w:rsidR="00541CDB" w:rsidRPr="009719AB" w:rsidRDefault="00541CDB" w:rsidP="00AC2E7E">
            <w:pPr>
              <w:ind w:right="-2"/>
              <w:jc w:val="center"/>
              <w:rPr>
                <w:rFonts w:ascii="Arial" w:hAnsi="Arial" w:cs="Arial"/>
                <w:b/>
                <w:sz w:val="20"/>
                <w:szCs w:val="20"/>
              </w:rPr>
            </w:pPr>
            <w:r>
              <w:rPr>
                <w:rFonts w:ascii="Arial" w:hAnsi="Arial" w:cs="Arial"/>
                <w:b/>
                <w:sz w:val="20"/>
                <w:szCs w:val="20"/>
              </w:rPr>
              <w:t>0</w:t>
            </w:r>
          </w:p>
        </w:tc>
        <w:tc>
          <w:tcPr>
            <w:tcW w:w="1535" w:type="dxa"/>
          </w:tcPr>
          <w:p w:rsidR="00541CDB" w:rsidRDefault="00541CDB" w:rsidP="00AC2E7E">
            <w:pPr>
              <w:ind w:right="-2"/>
              <w:jc w:val="center"/>
              <w:rPr>
                <w:rFonts w:ascii="Arial" w:hAnsi="Arial" w:cs="Arial"/>
                <w:sz w:val="20"/>
                <w:szCs w:val="20"/>
              </w:rPr>
            </w:pPr>
            <w:r>
              <w:rPr>
                <w:rFonts w:ascii="Arial" w:hAnsi="Arial" w:cs="Arial"/>
                <w:sz w:val="20"/>
                <w:szCs w:val="20"/>
              </w:rPr>
              <w:t>Abstentions :</w:t>
            </w:r>
          </w:p>
        </w:tc>
        <w:tc>
          <w:tcPr>
            <w:tcW w:w="1535" w:type="dxa"/>
          </w:tcPr>
          <w:p w:rsidR="00541CDB" w:rsidRPr="009719AB" w:rsidRDefault="00541CDB" w:rsidP="00AC2E7E">
            <w:pPr>
              <w:ind w:right="-2"/>
              <w:jc w:val="center"/>
              <w:rPr>
                <w:rFonts w:ascii="Arial" w:hAnsi="Arial" w:cs="Arial"/>
                <w:b/>
                <w:sz w:val="20"/>
                <w:szCs w:val="20"/>
              </w:rPr>
            </w:pPr>
            <w:r>
              <w:rPr>
                <w:rFonts w:ascii="Arial" w:hAnsi="Arial" w:cs="Arial"/>
                <w:b/>
                <w:sz w:val="20"/>
                <w:szCs w:val="20"/>
              </w:rPr>
              <w:t>0</w:t>
            </w:r>
          </w:p>
        </w:tc>
      </w:tr>
      <w:tr w:rsidR="00541CDB" w:rsidRPr="003346E0" w:rsidTr="00AC2E7E">
        <w:tc>
          <w:tcPr>
            <w:tcW w:w="9210" w:type="dxa"/>
            <w:gridSpan w:val="6"/>
          </w:tcPr>
          <w:p w:rsidR="00541CDB" w:rsidRPr="003346E0" w:rsidRDefault="00541CDB" w:rsidP="00AC2E7E">
            <w:pPr>
              <w:ind w:right="-2"/>
              <w:jc w:val="both"/>
              <w:rPr>
                <w:rFonts w:ascii="Arial" w:hAnsi="Arial" w:cs="Arial"/>
                <w:sz w:val="12"/>
                <w:szCs w:val="12"/>
              </w:rPr>
            </w:pPr>
          </w:p>
        </w:tc>
      </w:tr>
      <w:tr w:rsidR="00541CDB" w:rsidTr="00AC2E7E">
        <w:tc>
          <w:tcPr>
            <w:tcW w:w="9210" w:type="dxa"/>
            <w:gridSpan w:val="6"/>
          </w:tcPr>
          <w:p w:rsidR="00541CDB" w:rsidRPr="009719AB" w:rsidRDefault="00541CDB" w:rsidP="00AC2E7E">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7C33FD">
              <w:rPr>
                <w:rFonts w:ascii="Arial" w:hAnsi="Arial" w:cs="Arial"/>
                <w:b/>
                <w:sz w:val="20"/>
                <w:szCs w:val="20"/>
              </w:rPr>
            </w:r>
            <w:r w:rsidR="007C33FD">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7C33FD">
              <w:rPr>
                <w:rFonts w:ascii="Arial" w:hAnsi="Arial" w:cs="Arial"/>
                <w:b/>
                <w:sz w:val="20"/>
                <w:szCs w:val="20"/>
              </w:rPr>
            </w:r>
            <w:r w:rsidR="007C33FD">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7C33FD">
              <w:rPr>
                <w:rFonts w:ascii="Arial" w:hAnsi="Arial" w:cs="Arial"/>
                <w:b/>
                <w:sz w:val="20"/>
                <w:szCs w:val="20"/>
              </w:rPr>
            </w:r>
            <w:r w:rsidR="007C33FD">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541CDB" w:rsidRPr="00A7575A" w:rsidRDefault="00541CDB" w:rsidP="00541CDB">
      <w:pPr>
        <w:ind w:right="-2"/>
        <w:jc w:val="both"/>
        <w:rPr>
          <w:rFonts w:ascii="Arial" w:hAnsi="Arial" w:cs="Arial"/>
          <w:sz w:val="20"/>
          <w:szCs w:val="20"/>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E5" w:rsidRDefault="006437E5">
      <w:r>
        <w:separator/>
      </w:r>
    </w:p>
  </w:endnote>
  <w:endnote w:type="continuationSeparator" w:id="0">
    <w:p w:rsidR="006437E5" w:rsidRDefault="006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7C33FD">
      <w:rPr>
        <w:b/>
        <w:noProof/>
      </w:rPr>
      <w:t>1</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7C33FD">
      <w:rPr>
        <w:b/>
        <w:noProof/>
      </w:rPr>
      <w:t>5</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E5" w:rsidRDefault="006437E5">
      <w:r>
        <w:separator/>
      </w:r>
    </w:p>
  </w:footnote>
  <w:footnote w:type="continuationSeparator" w:id="0">
    <w:p w:rsidR="006437E5" w:rsidRDefault="0064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F56497">
      <w:rPr>
        <w:rFonts w:ascii="Arial" w:hAnsi="Arial" w:cs="Arial"/>
        <w:b/>
        <w:sz w:val="32"/>
        <w:szCs w:val="32"/>
      </w:rPr>
      <w:t>3</w:t>
    </w:r>
    <w:r w:rsidR="00FC7859" w:rsidRPr="00FC7859">
      <w:rPr>
        <w:rFonts w:ascii="Arial" w:hAnsi="Arial" w:cs="Arial"/>
        <w:b/>
        <w:sz w:val="32"/>
        <w:szCs w:val="32"/>
      </w:rPr>
      <w:t>-</w:t>
    </w:r>
    <w:r w:rsidR="00F56497">
      <w:rPr>
        <w:rFonts w:ascii="Arial" w:hAnsi="Arial" w:cs="Arial"/>
        <w:b/>
        <w:sz w:val="32"/>
        <w:szCs w:val="32"/>
      </w:rPr>
      <w:t>3</w:t>
    </w:r>
    <w:r w:rsidR="00623911">
      <w:rPr>
        <w:rFonts w:ascii="Arial" w:hAnsi="Arial" w:cs="Arial"/>
        <w:b/>
        <w:sz w:val="32"/>
        <w:szCs w:val="32"/>
      </w:rPr>
      <w:t>-</w:t>
    </w:r>
    <w:r w:rsidR="00103956">
      <w:rPr>
        <w:rFonts w:ascii="Arial" w:hAnsi="Arial" w:cs="Arial"/>
        <w:b/>
        <w:sz w:val="32"/>
        <w:szCs w:val="32"/>
      </w:rPr>
      <w:t>8</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9D676F"/>
    <w:multiLevelType w:val="hybridMultilevel"/>
    <w:tmpl w:val="872AB53C"/>
    <w:lvl w:ilvl="0" w:tplc="AF141F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0"/>
  </w:num>
  <w:num w:numId="6">
    <w:abstractNumId w:val="1"/>
  </w:num>
  <w:num w:numId="7">
    <w:abstractNumId w:val="5"/>
  </w:num>
  <w:num w:numId="8">
    <w:abstractNumId w:val="3"/>
  </w:num>
  <w:num w:numId="9">
    <w:abstractNumId w:val="6"/>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E5"/>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3956"/>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57E2C"/>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1CDB"/>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437E5"/>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33FD"/>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11A27"/>
    <w:rsid w:val="00E24F93"/>
    <w:rsid w:val="00E26DFF"/>
    <w:rsid w:val="00E41260"/>
    <w:rsid w:val="00E42850"/>
    <w:rsid w:val="00E531C6"/>
    <w:rsid w:val="00E55921"/>
    <w:rsid w:val="00E7598B"/>
    <w:rsid w:val="00E8496E"/>
    <w:rsid w:val="00EA23E7"/>
    <w:rsid w:val="00ED0A6C"/>
    <w:rsid w:val="00F07718"/>
    <w:rsid w:val="00F207AC"/>
    <w:rsid w:val="00F24B0A"/>
    <w:rsid w:val="00F25616"/>
    <w:rsid w:val="00F464F7"/>
    <w:rsid w:val="00F53A91"/>
    <w:rsid w:val="00F56497"/>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E201C72-8948-4F05-BEC8-C03AA0F1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aliases w:val="fleche verte,lp1,Paragraphe de liste num,Paragraphe de liste 1,Listes,texte de base,Tab n1,Note bas"/>
    <w:basedOn w:val="Normal"/>
    <w:link w:val="ParagraphedelisteCar"/>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character" w:customStyle="1" w:styleId="ParagraphedelisteCar">
    <w:name w:val="Paragraphe de liste Car"/>
    <w:aliases w:val="fleche verte Car,lp1 Car,Paragraphe de liste num Car,Paragraphe de liste 1 Car,Listes Car,texte de base Car,Tab n1 Car,Note bas Car"/>
    <w:link w:val="Paragraphedeliste"/>
    <w:uiPriority w:val="34"/>
    <w:rsid w:val="00457E2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3-31%2003%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53141B0CD742CC82799DB08F09ED84"/>
        <w:category>
          <w:name w:val="Général"/>
          <w:gallery w:val="placeholder"/>
        </w:category>
        <w:types>
          <w:type w:val="bbPlcHdr"/>
        </w:types>
        <w:behaviors>
          <w:behavior w:val="content"/>
        </w:behaviors>
        <w:guid w:val="{BDEF1401-9ED9-452A-9F26-30BD813D78B8}"/>
      </w:docPartPr>
      <w:docPartBody>
        <w:p w:rsidR="00D04799" w:rsidRDefault="00D04799">
          <w:pPr>
            <w:pStyle w:val="AD53141B0CD742CC82799DB08F09ED84"/>
          </w:pPr>
          <w:r w:rsidRPr="00CC3207">
            <w:rPr>
              <w:rStyle w:val="Textedelespacerserv"/>
            </w:rPr>
            <w:t>Choisissez un élément.</w:t>
          </w:r>
        </w:p>
      </w:docPartBody>
    </w:docPart>
    <w:docPart>
      <w:docPartPr>
        <w:name w:val="DF7CCA3BCE5741AD92EE8AE8C4E4337A"/>
        <w:category>
          <w:name w:val="Général"/>
          <w:gallery w:val="placeholder"/>
        </w:category>
        <w:types>
          <w:type w:val="bbPlcHdr"/>
        </w:types>
        <w:behaviors>
          <w:behavior w:val="content"/>
        </w:behaviors>
        <w:guid w:val="{B58E9CE9-2B6C-4B3B-8861-A9528D751843}"/>
      </w:docPartPr>
      <w:docPartBody>
        <w:p w:rsidR="00D04799" w:rsidRDefault="00D04799">
          <w:pPr>
            <w:pStyle w:val="DF7CCA3BCE5741AD92EE8AE8C4E4337A"/>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99"/>
    <w:rsid w:val="00D04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D53141B0CD742CC82799DB08F09ED84">
    <w:name w:val="AD53141B0CD742CC82799DB08F09ED84"/>
  </w:style>
  <w:style w:type="paragraph" w:customStyle="1" w:styleId="DF7CCA3BCE5741AD92EE8AE8C4E4337A">
    <w:name w:val="DF7CCA3BCE5741AD92EE8AE8C4E4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3.xml><?xml version="1.0" encoding="utf-8"?>
<ds:datastoreItem xmlns:ds="http://schemas.openxmlformats.org/officeDocument/2006/customXml" ds:itemID="{048DA249-E644-424E-A69B-0590F754109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60A4461-4DFA-4CE0-9AC5-9E87C092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23</TotalTime>
  <Pages>5</Pages>
  <Words>1460</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6</cp:revision>
  <cp:lastPrinted>2022-04-06T08:29:00Z</cp:lastPrinted>
  <dcterms:created xsi:type="dcterms:W3CDTF">2022-03-28T07:28:00Z</dcterms:created>
  <dcterms:modified xsi:type="dcterms:W3CDTF">2022-04-06T08:29:00Z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