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15586B" w:rsidRPr="00D64356" w:rsidRDefault="0015586B" w:rsidP="0015586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15586B" w:rsidRPr="00D64356" w:rsidRDefault="0015586B" w:rsidP="0015586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52</w:t>
            </w:r>
          </w:p>
          <w:p w:rsidR="0015586B" w:rsidRPr="00D64356" w:rsidRDefault="0015586B" w:rsidP="0015586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061630"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15586B" w:rsidRPr="00D64356" w:rsidRDefault="0015586B" w:rsidP="0015586B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2</w:t>
            </w:r>
          </w:p>
          <w:p w:rsidR="00D278EF" w:rsidRDefault="0015586B" w:rsidP="0015586B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 w:rsidRPr="006D63F5">
              <w:rPr>
                <w:rFonts w:ascii="Arial" w:hAnsi="Arial"/>
                <w:b/>
                <w:sz w:val="20"/>
                <w:szCs w:val="20"/>
              </w:rPr>
              <w:t xml:space="preserve"> 4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B94C70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février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t</w:t>
            </w:r>
            <w:proofErr w:type="gramEnd"/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9E40EA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C85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9E40EA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DF7E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B94C70">
              <w:rPr>
                <w:b/>
                <w:sz w:val="20"/>
              </w:rPr>
              <w:t>24 Févr</w:t>
            </w:r>
            <w:r w:rsidR="00295C6E">
              <w:rPr>
                <w:b/>
                <w:sz w:val="20"/>
              </w:rPr>
              <w:t>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B94C70">
              <w:t>24 février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B94C70">
              <w:t>18 février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B94C70">
              <w:t>18 février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15586B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9C4C1B64912C46459B2C7109328FC643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BE463F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9 - Autres domaines de compétences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9C4C1B64912C46459B2C7109328FC643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BE463F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9.3 - Autres domaines de compétences des régions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640F0E">
            <w:pPr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1E00FC" w:rsidRPr="001E00FC">
              <w:rPr>
                <w:rFonts w:ascii="Arial" w:hAnsi="Arial" w:cs="Arial"/>
                <w:b/>
                <w:sz w:val="20"/>
                <w:szCs w:val="20"/>
              </w:rPr>
              <w:t>Contrat de territoire avec la Région Normandie – Actualisation de la convention partenariale d’engagement</w:t>
            </w:r>
          </w:p>
        </w:tc>
      </w:tr>
    </w:tbl>
    <w:p w:rsidR="0015586B" w:rsidRPr="001C3DF2" w:rsidRDefault="0015586B" w:rsidP="0015586B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15586B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586B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09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ind w:hanging="39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6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9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15586B" w:rsidTr="00FF4A3B">
        <w:trPr>
          <w:trHeight w:val="272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586B" w:rsidRDefault="0015586B" w:rsidP="0015586B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15586B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586B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23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21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24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221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15586B" w:rsidTr="00FF4A3B">
        <w:trPr>
          <w:trHeight w:val="278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Pr="00973A6C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973A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Jacques FAUTRARD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7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97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15586B" w:rsidTr="00FF4A3B">
        <w:trPr>
          <w:trHeight w:val="324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5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95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206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74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Marc GUILLAUMIN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</w:tbl>
    <w:p w:rsidR="0015586B" w:rsidRDefault="0015586B" w:rsidP="0015586B">
      <w:r>
        <w:br w:type="page"/>
      </w:r>
    </w:p>
    <w:tbl>
      <w:tblPr>
        <w:tblW w:w="100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901"/>
        <w:gridCol w:w="2040"/>
        <w:gridCol w:w="2260"/>
        <w:gridCol w:w="1120"/>
        <w:gridCol w:w="880"/>
      </w:tblGrid>
      <w:tr w:rsidR="0015586B" w:rsidTr="00FF4A3B">
        <w:trPr>
          <w:trHeight w:val="192"/>
        </w:trPr>
        <w:tc>
          <w:tcPr>
            <w:tcW w:w="2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15586B" w:rsidTr="00FF4A3B">
        <w:trPr>
          <w:trHeight w:val="1632"/>
        </w:trPr>
        <w:tc>
          <w:tcPr>
            <w:tcW w:w="2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08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Frédéric BROGNIART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60"/>
        </w:trPr>
        <w:tc>
          <w:tcPr>
            <w:tcW w:w="100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5586B" w:rsidTr="00FF4A3B">
        <w:trPr>
          <w:trHeight w:val="113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86B" w:rsidRDefault="0015586B" w:rsidP="00FF4A3B">
            <w:pPr>
              <w:rPr>
                <w:sz w:val="20"/>
                <w:szCs w:val="20"/>
              </w:rPr>
            </w:pPr>
          </w:p>
        </w:tc>
      </w:tr>
      <w:tr w:rsidR="0015586B" w:rsidTr="00FF4A3B">
        <w:trPr>
          <w:trHeight w:val="191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15586B" w:rsidTr="00FF4A3B">
        <w:trPr>
          <w:trHeight w:val="204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15586B" w:rsidTr="00FF4A3B">
        <w:trPr>
          <w:trHeight w:val="249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15586B" w:rsidTr="00FF4A3B">
        <w:trPr>
          <w:trHeight w:val="1821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15586B" w:rsidTr="00FF4A3B">
        <w:trPr>
          <w:trHeight w:val="210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586B" w:rsidRDefault="0015586B" w:rsidP="00FF4A3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</w:tbl>
    <w:p w:rsidR="0015586B" w:rsidRDefault="0015586B" w:rsidP="0015586B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Pr="00F60A16" w:rsidRDefault="00542074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13D5774C5DBC4BF897418FD331FF960D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1E00FC">
            <w:rPr>
              <w:rFonts w:ascii="Arial" w:hAnsi="Arial" w:cs="Arial"/>
              <w:b/>
              <w:sz w:val="20"/>
            </w:rPr>
            <w:t>M. Marc ANDREU SABATER, Président</w:t>
          </w:r>
        </w:sdtContent>
      </w:sdt>
      <w:r w:rsidR="00BE463F">
        <w:rPr>
          <w:rFonts w:ascii="Arial" w:hAnsi="Arial" w:cs="Arial"/>
          <w:b/>
          <w:sz w:val="20"/>
        </w:rPr>
        <w:t xml:space="preserve">, </w:t>
      </w:r>
      <w:r w:rsidR="00014AE9" w:rsidRPr="00F60A16">
        <w:rPr>
          <w:rFonts w:ascii="Arial" w:hAnsi="Arial" w:cs="Arial"/>
          <w:b/>
          <w:sz w:val="20"/>
        </w:rPr>
        <w:t>donne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BE463F" w:rsidRDefault="00014AE9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p w:rsidR="001E00FC" w:rsidRPr="00B31056" w:rsidRDefault="001E00FC" w:rsidP="002A03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L’Intercom de la Vire au Noireau a signé un contrat de territoire avec la Région Normandie </w:t>
      </w:r>
      <w:r w:rsidRPr="00715202">
        <w:rPr>
          <w:rFonts w:ascii="Arial" w:hAnsi="Arial" w:cs="Arial"/>
          <w:sz w:val="20"/>
          <w:szCs w:val="20"/>
        </w:rPr>
        <w:t>le 20 juillet 2018. Elle a établi un plan d’actions autour de 5 axe</w:t>
      </w:r>
      <w:r>
        <w:rPr>
          <w:rFonts w:ascii="Arial" w:hAnsi="Arial" w:cs="Arial"/>
          <w:sz w:val="20"/>
          <w:szCs w:val="20"/>
        </w:rPr>
        <w:t>s</w:t>
      </w:r>
      <w:r w:rsidRPr="00715202">
        <w:rPr>
          <w:rFonts w:ascii="Arial" w:hAnsi="Arial" w:cs="Arial"/>
          <w:sz w:val="20"/>
          <w:szCs w:val="20"/>
        </w:rPr>
        <w:t> :</w:t>
      </w:r>
    </w:p>
    <w:p w:rsidR="001E00FC" w:rsidRPr="00B31056" w:rsidRDefault="001E00FC" w:rsidP="002A03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Développement économique</w:t>
      </w:r>
    </w:p>
    <w:p w:rsidR="001E00FC" w:rsidRPr="00B31056" w:rsidRDefault="001E00FC" w:rsidP="002A03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Revitalisation des centre-bourgs</w:t>
      </w:r>
    </w:p>
    <w:p w:rsidR="001E00FC" w:rsidRPr="00B31056" w:rsidRDefault="001E00FC" w:rsidP="002A03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Tourisme</w:t>
      </w:r>
    </w:p>
    <w:p w:rsidR="001E00FC" w:rsidRPr="00B31056" w:rsidRDefault="001E00FC" w:rsidP="002A03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Sport – Loisirs</w:t>
      </w:r>
    </w:p>
    <w:p w:rsidR="001E00FC" w:rsidRPr="00B31056" w:rsidRDefault="001E00FC" w:rsidP="002A037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Santé</w:t>
      </w:r>
    </w:p>
    <w:p w:rsidR="001E00FC" w:rsidRPr="00B31056" w:rsidRDefault="001E00FC" w:rsidP="002A037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31056">
        <w:rPr>
          <w:rFonts w:ascii="Arial" w:hAnsi="Arial" w:cs="Arial"/>
          <w:sz w:val="20"/>
          <w:szCs w:val="20"/>
        </w:rPr>
        <w:t>Treize projets ont été retenus dans le cadre de ce contrat</w:t>
      </w:r>
      <w:r>
        <w:rPr>
          <w:rFonts w:ascii="Arial" w:hAnsi="Arial" w:cs="Arial"/>
          <w:sz w:val="20"/>
          <w:szCs w:val="20"/>
        </w:rPr>
        <w:t xml:space="preserve">, </w:t>
      </w:r>
      <w:r w:rsidRPr="00B31056">
        <w:rPr>
          <w:rFonts w:ascii="Arial" w:hAnsi="Arial" w:cs="Arial"/>
          <w:sz w:val="20"/>
          <w:szCs w:val="20"/>
        </w:rPr>
        <w:t xml:space="preserve">pour un montant total de subvention régionale de </w:t>
      </w:r>
      <w:r>
        <w:rPr>
          <w:rFonts w:ascii="Arial" w:hAnsi="Arial" w:cs="Arial"/>
          <w:sz w:val="20"/>
          <w:szCs w:val="20"/>
        </w:rPr>
        <w:t>2 806 910 €.</w:t>
      </w:r>
      <w:r w:rsidRPr="00B31056">
        <w:rPr>
          <w:rFonts w:ascii="Arial" w:hAnsi="Arial" w:cs="Arial"/>
          <w:sz w:val="20"/>
          <w:szCs w:val="20"/>
        </w:rPr>
        <w:t xml:space="preserve"> </w:t>
      </w:r>
    </w:p>
    <w:p w:rsidR="001E00FC" w:rsidRDefault="001E00FC" w:rsidP="002A037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 cadre de la procédure de révision du contrat, il convient de valider la nouvelle convention de partenariat et la maquette financière actualisées</w:t>
      </w:r>
      <w:r w:rsidRPr="00AD28DD">
        <w:rPr>
          <w:rFonts w:ascii="Arial" w:hAnsi="Arial" w:cs="Arial"/>
          <w:i/>
          <w:sz w:val="20"/>
          <w:szCs w:val="20"/>
        </w:rPr>
        <w:t>.</w:t>
      </w:r>
    </w:p>
    <w:p w:rsidR="001E00FC" w:rsidRPr="005E42D5" w:rsidRDefault="001E00FC" w:rsidP="002A037D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5E42D5">
        <w:rPr>
          <w:rFonts w:ascii="Arial" w:hAnsi="Arial" w:cs="Arial"/>
          <w:b/>
          <w:sz w:val="20"/>
          <w:szCs w:val="20"/>
        </w:rPr>
        <w:t>Suivant l’avis favorable du Bureau communautaire</w:t>
      </w:r>
      <w:r>
        <w:rPr>
          <w:rFonts w:ascii="Arial" w:hAnsi="Arial" w:cs="Arial"/>
          <w:b/>
          <w:sz w:val="20"/>
          <w:szCs w:val="20"/>
        </w:rPr>
        <w:t xml:space="preserve"> réuni le 7 février 2022</w:t>
      </w:r>
      <w:r w:rsidRPr="005E42D5">
        <w:rPr>
          <w:rFonts w:ascii="Arial" w:hAnsi="Arial" w:cs="Arial"/>
          <w:b/>
          <w:sz w:val="20"/>
          <w:szCs w:val="20"/>
        </w:rPr>
        <w:t>, il est proposé au Conseil communautaire de :</w:t>
      </w:r>
    </w:p>
    <w:p w:rsidR="001E00FC" w:rsidRPr="006E1BEC" w:rsidRDefault="001E00FC" w:rsidP="002A037D">
      <w:pPr>
        <w:pStyle w:val="Sansinterligne"/>
        <w:numPr>
          <w:ilvl w:val="0"/>
          <w:numId w:val="13"/>
        </w:numPr>
        <w:spacing w:after="120"/>
        <w:ind w:left="426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Valider </w:t>
      </w:r>
      <w:r w:rsidRPr="006E1BEC">
        <w:rPr>
          <w:rFonts w:ascii="Arial" w:hAnsi="Arial" w:cs="Arial"/>
          <w:sz w:val="20"/>
          <w:szCs w:val="20"/>
        </w:rPr>
        <w:t xml:space="preserve">la convention de partenariat actualisée, ainsi que la maquette </w:t>
      </w:r>
      <w:r w:rsidRPr="00BE463F">
        <w:rPr>
          <w:rFonts w:ascii="Arial" w:hAnsi="Arial" w:cs="Arial"/>
          <w:sz w:val="20"/>
          <w:szCs w:val="20"/>
        </w:rPr>
        <w:t>financière</w:t>
      </w:r>
      <w:r w:rsidRPr="00BE463F">
        <w:rPr>
          <w:rFonts w:ascii="Arial" w:hAnsi="Arial" w:cs="Arial"/>
          <w:i/>
          <w:sz w:val="20"/>
          <w:szCs w:val="20"/>
        </w:rPr>
        <w:t xml:space="preserve"> (</w:t>
      </w:r>
      <w:r w:rsidRPr="00BE463F">
        <w:rPr>
          <w:rFonts w:ascii="Arial" w:hAnsi="Arial" w:cs="Arial"/>
          <w:i/>
          <w:sz w:val="20"/>
          <w:szCs w:val="20"/>
          <w:u w:val="single"/>
        </w:rPr>
        <w:t>cf. annexes en pièce-jointe</w:t>
      </w:r>
      <w:r w:rsidRPr="00BE463F">
        <w:rPr>
          <w:rFonts w:ascii="Arial" w:hAnsi="Arial" w:cs="Arial"/>
          <w:i/>
          <w:sz w:val="20"/>
          <w:szCs w:val="20"/>
        </w:rPr>
        <w:t>),</w:t>
      </w:r>
    </w:p>
    <w:p w:rsidR="001E00FC" w:rsidRPr="002514B0" w:rsidRDefault="001E00FC" w:rsidP="002A037D">
      <w:pPr>
        <w:pStyle w:val="Sansinterligne"/>
        <w:numPr>
          <w:ilvl w:val="0"/>
          <w:numId w:val="13"/>
        </w:numPr>
        <w:ind w:left="426" w:right="-2" w:hanging="284"/>
        <w:jc w:val="both"/>
        <w:rPr>
          <w:b/>
          <w:u w:val="single"/>
        </w:rPr>
      </w:pPr>
      <w:r w:rsidRPr="002514B0">
        <w:rPr>
          <w:rFonts w:ascii="Arial" w:hAnsi="Arial" w:cs="Arial"/>
          <w:b/>
          <w:bCs/>
          <w:sz w:val="20"/>
        </w:rPr>
        <w:t>Habiliter</w:t>
      </w:r>
      <w:r w:rsidRPr="002514B0">
        <w:rPr>
          <w:rFonts w:ascii="Arial" w:hAnsi="Arial" w:cs="Arial"/>
          <w:bCs/>
          <w:sz w:val="20"/>
        </w:rPr>
        <w:t xml:space="preserve"> M. le Président ou son représentant à signer la convention partenariale d’engagement actualisée avec la Région Normandie, ainsi que tous les documents afférents à cette délibération.</w:t>
      </w:r>
    </w:p>
    <w:p w:rsidR="001E00FC" w:rsidRDefault="001E00FC" w:rsidP="001E00FC">
      <w:pPr>
        <w:pStyle w:val="Sansinterligne"/>
        <w:ind w:right="-144"/>
        <w:jc w:val="both"/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2A037D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A037D" w:rsidRPr="003346E0" w:rsidRDefault="002A037D" w:rsidP="002A037D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02"/>
        <w:gridCol w:w="1517"/>
        <w:gridCol w:w="1498"/>
        <w:gridCol w:w="1530"/>
        <w:gridCol w:w="1502"/>
      </w:tblGrid>
      <w:tr w:rsidR="002A037D" w:rsidTr="00FF4A3B">
        <w:tc>
          <w:tcPr>
            <w:tcW w:w="9210" w:type="dxa"/>
            <w:gridSpan w:val="6"/>
          </w:tcPr>
          <w:p w:rsidR="002A037D" w:rsidRDefault="002A037D" w:rsidP="00FF4A3B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A037D" w:rsidRPr="003346E0" w:rsidTr="00FF4A3B">
        <w:tc>
          <w:tcPr>
            <w:tcW w:w="9210" w:type="dxa"/>
            <w:gridSpan w:val="6"/>
          </w:tcPr>
          <w:p w:rsidR="002A037D" w:rsidRPr="003346E0" w:rsidRDefault="002A037D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37D" w:rsidTr="00FF4A3B">
        <w:tc>
          <w:tcPr>
            <w:tcW w:w="1535" w:type="dxa"/>
          </w:tcPr>
          <w:p w:rsidR="002A037D" w:rsidRDefault="002A037D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2A037D" w:rsidRPr="009719AB" w:rsidRDefault="00B1179D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A03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2A037D" w:rsidRDefault="002A037D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2A037D" w:rsidRPr="009719AB" w:rsidRDefault="002A037D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2A037D" w:rsidRDefault="002A037D" w:rsidP="00FF4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2A037D" w:rsidRPr="009719AB" w:rsidRDefault="00B1179D" w:rsidP="00FF4A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2A037D" w:rsidRPr="003346E0" w:rsidTr="00FF4A3B">
        <w:tc>
          <w:tcPr>
            <w:tcW w:w="9210" w:type="dxa"/>
            <w:gridSpan w:val="6"/>
          </w:tcPr>
          <w:p w:rsidR="002A037D" w:rsidRPr="003346E0" w:rsidRDefault="002A037D" w:rsidP="00FF4A3B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A037D" w:rsidTr="00FF4A3B">
        <w:tc>
          <w:tcPr>
            <w:tcW w:w="9210" w:type="dxa"/>
            <w:gridSpan w:val="6"/>
          </w:tcPr>
          <w:p w:rsidR="002A037D" w:rsidRPr="009719AB" w:rsidRDefault="002A037D" w:rsidP="00FF4A3B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2A037D" w:rsidRPr="00A7575A" w:rsidRDefault="002A037D" w:rsidP="002A037D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EA" w:rsidRDefault="009E40EA">
      <w:r>
        <w:separator/>
      </w:r>
    </w:p>
  </w:endnote>
  <w:endnote w:type="continuationSeparator" w:id="0">
    <w:p w:rsidR="009E40EA" w:rsidRDefault="009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542074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542074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EA" w:rsidRDefault="009E40EA">
      <w:r>
        <w:separator/>
      </w:r>
    </w:p>
  </w:footnote>
  <w:footnote w:type="continuationSeparator" w:id="0">
    <w:p w:rsidR="009E40EA" w:rsidRDefault="009E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B94C70">
      <w:rPr>
        <w:rFonts w:ascii="Arial" w:hAnsi="Arial" w:cs="Arial"/>
        <w:b/>
        <w:sz w:val="32"/>
        <w:szCs w:val="32"/>
      </w:rPr>
      <w:t>2</w:t>
    </w:r>
    <w:r w:rsidR="00623911">
      <w:rPr>
        <w:rFonts w:ascii="Arial" w:hAnsi="Arial" w:cs="Arial"/>
        <w:b/>
        <w:sz w:val="32"/>
        <w:szCs w:val="32"/>
      </w:rPr>
      <w:t>-</w:t>
    </w:r>
    <w:r w:rsidR="009E40EA">
      <w:rPr>
        <w:rFonts w:ascii="Arial" w:hAnsi="Arial" w:cs="Arial"/>
        <w:b/>
        <w:sz w:val="32"/>
        <w:szCs w:val="32"/>
      </w:rPr>
      <w:t>8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0F1"/>
    <w:multiLevelType w:val="hybridMultilevel"/>
    <w:tmpl w:val="7982EFC0"/>
    <w:lvl w:ilvl="0" w:tplc="8ED06F2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74A"/>
    <w:multiLevelType w:val="hybridMultilevel"/>
    <w:tmpl w:val="EC925C7C"/>
    <w:lvl w:ilvl="0" w:tplc="FF3C3AB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A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86B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E00FC"/>
    <w:rsid w:val="001F2C04"/>
    <w:rsid w:val="001F349C"/>
    <w:rsid w:val="00217E51"/>
    <w:rsid w:val="00226FED"/>
    <w:rsid w:val="00227617"/>
    <w:rsid w:val="00234406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37D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2074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40F0E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3A2B"/>
    <w:rsid w:val="007D6281"/>
    <w:rsid w:val="007E16BC"/>
    <w:rsid w:val="007E345D"/>
    <w:rsid w:val="007F3396"/>
    <w:rsid w:val="00807CF6"/>
    <w:rsid w:val="00813573"/>
    <w:rsid w:val="00831D40"/>
    <w:rsid w:val="0083540E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E40EA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179D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463F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324D93"/>
  <w15:docId w15:val="{B02751BD-08EE-4150-8577-908B2958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basedOn w:val="Normal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2-24%2002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C1B64912C46459B2C7109328FC6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93E40-0FB5-4200-95A7-D7AAA73FFF50}"/>
      </w:docPartPr>
      <w:docPartBody>
        <w:p w:rsidR="007B26F4" w:rsidRDefault="007B26F4">
          <w:pPr>
            <w:pStyle w:val="9C4C1B64912C46459B2C7109328FC643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3D5774C5DBC4BF897418FD331FF9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6B434-56E3-4510-839C-92F6A3DEDE44}"/>
      </w:docPartPr>
      <w:docPartBody>
        <w:p w:rsidR="007B26F4" w:rsidRDefault="007B26F4">
          <w:pPr>
            <w:pStyle w:val="13D5774C5DBC4BF897418FD331FF960D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4"/>
    <w:rsid w:val="007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9C4C1B64912C46459B2C7109328FC643">
    <w:name w:val="9C4C1B64912C46459B2C7109328FC643"/>
  </w:style>
  <w:style w:type="paragraph" w:customStyle="1" w:styleId="13D5774C5DBC4BF897418FD331FF960D">
    <w:name w:val="13D5774C5DBC4BF897418FD331FF9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A249-E644-424E-A69B-0590F75410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B67F16-44B6-445D-98BA-874C55E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10</TotalTime>
  <Pages>4</Pages>
  <Words>1011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13</cp:revision>
  <cp:lastPrinted>2022-02-25T09:53:00Z</cp:lastPrinted>
  <dcterms:created xsi:type="dcterms:W3CDTF">2022-02-18T15:06:00Z</dcterms:created>
  <dcterms:modified xsi:type="dcterms:W3CDTF">2022-02-25T09:53:00Z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