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1A1462" w:rsidRPr="00D64356" w:rsidRDefault="001A1462" w:rsidP="001A1462">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1A1462" w:rsidRPr="00D64356" w:rsidRDefault="001A1462" w:rsidP="001A1462">
            <w:pPr>
              <w:rPr>
                <w:rFonts w:ascii="Arial" w:hAnsi="Arial"/>
                <w:sz w:val="20"/>
                <w:szCs w:val="20"/>
              </w:rPr>
            </w:pPr>
            <w:r w:rsidRPr="00D64356">
              <w:rPr>
                <w:rFonts w:ascii="Arial" w:hAnsi="Arial"/>
                <w:sz w:val="20"/>
                <w:szCs w:val="20"/>
              </w:rPr>
              <w:t xml:space="preserve">Nombre de membres présents : </w:t>
            </w:r>
            <w:r w:rsidRPr="00061630">
              <w:rPr>
                <w:rFonts w:ascii="Arial" w:hAnsi="Arial"/>
                <w:b/>
                <w:sz w:val="20"/>
                <w:szCs w:val="20"/>
              </w:rPr>
              <w:t>52</w:t>
            </w:r>
          </w:p>
          <w:p w:rsidR="001A1462" w:rsidRPr="00D64356" w:rsidRDefault="001A1462" w:rsidP="001A1462">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061630">
              <w:rPr>
                <w:rFonts w:ascii="Arial" w:hAnsi="Arial"/>
                <w:b/>
                <w:sz w:val="20"/>
                <w:szCs w:val="20"/>
              </w:rPr>
              <w:t>3</w:t>
            </w:r>
          </w:p>
          <w:p w:rsidR="001A1462" w:rsidRPr="00D64356" w:rsidRDefault="001A1462" w:rsidP="001A1462">
            <w:pPr>
              <w:rPr>
                <w:rFonts w:ascii="Arial" w:hAnsi="Arial"/>
                <w:sz w:val="20"/>
                <w:szCs w:val="20"/>
              </w:rPr>
            </w:pPr>
            <w:r w:rsidRPr="00D64356">
              <w:rPr>
                <w:rFonts w:ascii="Arial" w:hAnsi="Arial"/>
                <w:sz w:val="20"/>
                <w:szCs w:val="20"/>
              </w:rPr>
              <w:t>Nombre de membres excusés :</w:t>
            </w:r>
            <w:r w:rsidRPr="006D63F5">
              <w:rPr>
                <w:rFonts w:ascii="Arial" w:hAnsi="Arial"/>
                <w:b/>
                <w:sz w:val="20"/>
                <w:szCs w:val="20"/>
              </w:rPr>
              <w:t xml:space="preserve"> 2</w:t>
            </w:r>
          </w:p>
          <w:p w:rsidR="00D278EF" w:rsidRDefault="001A1462" w:rsidP="001A1462">
            <w:r w:rsidRPr="00D64356">
              <w:rPr>
                <w:rFonts w:ascii="Arial" w:hAnsi="Arial"/>
                <w:sz w:val="20"/>
                <w:szCs w:val="20"/>
              </w:rPr>
              <w:t>Nombre de membres absents :</w:t>
            </w:r>
            <w:r w:rsidRPr="006D63F5">
              <w:rPr>
                <w:rFonts w:ascii="Arial" w:hAnsi="Arial"/>
                <w:b/>
                <w:sz w:val="20"/>
                <w:szCs w:val="20"/>
              </w:rPr>
              <w:t xml:space="preserve"> 4</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B94C70" w:rsidP="00D278EF">
            <w:pPr>
              <w:rPr>
                <w:rFonts w:ascii="Arial" w:hAnsi="Arial" w:cs="Arial"/>
                <w:b/>
                <w:sz w:val="20"/>
                <w:szCs w:val="20"/>
              </w:rPr>
            </w:pPr>
            <w:r>
              <w:rPr>
                <w:rFonts w:ascii="Arial" w:hAnsi="Arial" w:cs="Arial"/>
                <w:b/>
                <w:sz w:val="20"/>
                <w:szCs w:val="20"/>
              </w:rPr>
              <w:t>18 février</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proofErr w:type="gramStart"/>
            <w:r>
              <w:rPr>
                <w:rFonts w:ascii="Arial" w:hAnsi="Arial"/>
                <w:b/>
                <w:color w:val="003300"/>
                <w:sz w:val="20"/>
                <w:szCs w:val="20"/>
              </w:rPr>
              <w:t>e</w:t>
            </w:r>
            <w:r w:rsidR="001F349C">
              <w:rPr>
                <w:rFonts w:ascii="Arial" w:hAnsi="Arial"/>
                <w:b/>
                <w:color w:val="003300"/>
                <w:sz w:val="20"/>
                <w:szCs w:val="20"/>
              </w:rPr>
              <w:t>t</w:t>
            </w:r>
            <w:proofErr w:type="gramEnd"/>
            <w:r w:rsidR="001F349C">
              <w:rPr>
                <w:rFonts w:ascii="Arial" w:hAnsi="Arial"/>
                <w:b/>
                <w:color w:val="003300"/>
                <w:sz w:val="20"/>
                <w:szCs w:val="20"/>
              </w:rPr>
              <w:t xml:space="preserve">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002BC9"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1A414"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002BC9"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3F5C1"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B94C70">
              <w:rPr>
                <w:b/>
                <w:sz w:val="20"/>
              </w:rPr>
              <w:t>24 Févr</w:t>
            </w:r>
            <w:r w:rsidR="00295C6E">
              <w:rPr>
                <w:b/>
                <w:sz w:val="20"/>
              </w:rPr>
              <w:t>ier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B94C70">
              <w:t>24 février</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B94C70">
              <w:t>18 février</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B94C70">
              <w:t>18 février</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1A1462" w:rsidP="003346E0">
            <w:pPr>
              <w:pStyle w:val="Corpsdetexte2"/>
              <w:ind w:left="72" w:right="214"/>
            </w:pPr>
            <w:r>
              <w:rPr>
                <w:rFonts w:cs="Arial"/>
              </w:rPr>
              <w:t xml:space="preserve">M. Corentin GOETHALS a été </w:t>
            </w:r>
            <w:r w:rsidRPr="002C3542">
              <w:rPr>
                <w:rFonts w:cs="Arial"/>
              </w:rPr>
              <w:t>nommé</w:t>
            </w:r>
            <w:r>
              <w:rPr>
                <w:rFonts w:cs="Arial"/>
              </w:rPr>
              <w:t xml:space="preserv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74EDAB7E288F4A44BF514E9574D99940"/>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20047A" w:rsidP="00D278EF">
                <w:pPr>
                  <w:ind w:left="356" w:hanging="356"/>
                  <w:rPr>
                    <w:rFonts w:ascii="Arial" w:hAnsi="Arial" w:cs="Arial"/>
                    <w:b/>
                    <w:sz w:val="20"/>
                    <w:szCs w:val="20"/>
                    <w:u w:val="single"/>
                  </w:rPr>
                </w:pPr>
                <w:r>
                  <w:rPr>
                    <w:rStyle w:val="Style7"/>
                  </w:rPr>
                  <w:t>1 - Commande Publique</w:t>
                </w:r>
              </w:p>
            </w:sdtContent>
          </w:sdt>
          <w:sdt>
            <w:sdtPr>
              <w:rPr>
                <w:rStyle w:val="Style8"/>
              </w:rPr>
              <w:id w:val="18689017"/>
              <w:placeholder>
                <w:docPart w:val="74EDAB7E288F4A44BF514E9574D99940"/>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20047A" w:rsidP="00D278EF">
                <w:pPr>
                  <w:rPr>
                    <w:rFonts w:ascii="Arial" w:hAnsi="Arial" w:cs="Arial"/>
                    <w:b/>
                    <w:sz w:val="20"/>
                    <w:szCs w:val="20"/>
                  </w:rPr>
                </w:pPr>
                <w:r>
                  <w:rPr>
                    <w:rStyle w:val="Style8"/>
                  </w:rPr>
                  <w:t>1.1 - Marchés Publics</w:t>
                </w:r>
              </w:p>
            </w:sdtContent>
          </w:sdt>
          <w:p w:rsidR="00D278EF" w:rsidRPr="003346E0" w:rsidRDefault="00D278EF" w:rsidP="00727EF8">
            <w:pPr>
              <w:rPr>
                <w:rFonts w:ascii="Arial" w:hAnsi="Arial" w:cs="Arial"/>
                <w:b/>
                <w:sz w:val="12"/>
                <w:szCs w:val="12"/>
                <w:u w:val="single"/>
              </w:rPr>
            </w:pPr>
          </w:p>
          <w:p w:rsidR="00727EF8" w:rsidRPr="00E41260" w:rsidRDefault="0019330A" w:rsidP="0020047A">
            <w:pPr>
              <w:pStyle w:val="Sansinterligne"/>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B9412A" w:rsidRPr="00B9412A">
              <w:rPr>
                <w:rFonts w:ascii="Arial" w:hAnsi="Arial" w:cs="Arial"/>
                <w:b/>
                <w:sz w:val="20"/>
                <w:szCs w:val="20"/>
              </w:rPr>
              <w:t>Entretien des chemins de randonnées — Lancement et autorisation de signature du marché</w:t>
            </w:r>
          </w:p>
        </w:tc>
      </w:tr>
    </w:tbl>
    <w:p w:rsidR="001A1462" w:rsidRPr="001C3DF2" w:rsidRDefault="001A1462" w:rsidP="001A1462">
      <w:pPr>
        <w:ind w:right="-851"/>
        <w:jc w:val="both"/>
        <w:rPr>
          <w:rFonts w:ascii="Arial" w:hAnsi="Arial" w:cs="Arial"/>
          <w:sz w:val="12"/>
          <w:szCs w:val="12"/>
        </w:rPr>
      </w:pP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1A1462" w:rsidTr="001A1462">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Absents</w:t>
            </w:r>
          </w:p>
        </w:tc>
      </w:tr>
      <w:tr w:rsidR="001A1462" w:rsidTr="001A1462">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1A1462" w:rsidRDefault="001A1462" w:rsidP="001A1462">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1A1462" w:rsidRDefault="001A1462" w:rsidP="001A146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1A1462" w:rsidRDefault="001A1462" w:rsidP="001A1462">
            <w:pPr>
              <w:rPr>
                <w:rFonts w:ascii="Arial" w:hAnsi="Arial" w:cs="Arial"/>
                <w:b/>
                <w:bCs/>
                <w:color w:val="000000"/>
                <w:sz w:val="18"/>
                <w:szCs w:val="18"/>
              </w:rPr>
            </w:pP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04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r>
      <w:tr w:rsidR="001A1462" w:rsidTr="001A1462">
        <w:trPr>
          <w:trHeight w:val="109"/>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1A1462" w:rsidTr="001A1462">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Xavier ANCKAERT</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1A1462" w:rsidRDefault="001A1462" w:rsidP="001A146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Mme Nathalie BOUILLARD </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r>
      <w:tr w:rsidR="001A1462" w:rsidTr="001A1462">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Catherine CAILLY</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 Pascal DALIGAULT </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Sylvain DELANGE</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Mme Valérie DESQUESNE </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72"/>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 Jean ELISABETH </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Mme Najat LEMERAY </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ind w:hanging="39"/>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r>
      <w:tr w:rsidR="001A1462" w:rsidTr="001A1462">
        <w:trPr>
          <w:trHeight w:val="16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LA VILLETTE</w:t>
            </w:r>
          </w:p>
        </w:tc>
      </w:tr>
      <w:tr w:rsidR="001A1462" w:rsidTr="001A1462">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Daniel BREARD</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r>
      <w:tr w:rsidR="001A1462" w:rsidTr="001A1462">
        <w:trPr>
          <w:trHeight w:val="19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PERIGNY</w:t>
            </w:r>
          </w:p>
        </w:tc>
      </w:tr>
      <w:tr w:rsidR="001A1462" w:rsidTr="001A1462">
        <w:trPr>
          <w:trHeight w:val="272"/>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Jean-Christophe MEUNIER</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bl>
    <w:p w:rsidR="001A1462" w:rsidRDefault="001A1462" w:rsidP="001A1462">
      <w:r>
        <w:br w:type="page"/>
      </w: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1A1462" w:rsidTr="001A1462">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Absents</w:t>
            </w:r>
          </w:p>
        </w:tc>
      </w:tr>
      <w:tr w:rsidR="001A1462" w:rsidTr="001A1462">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1A1462" w:rsidRDefault="001A1462" w:rsidP="001A1462">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1A1462" w:rsidRDefault="001A1462" w:rsidP="001A146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1A1462" w:rsidRDefault="001A1462" w:rsidP="001A1462">
            <w:pPr>
              <w:rPr>
                <w:rFonts w:ascii="Arial" w:hAnsi="Arial" w:cs="Arial"/>
                <w:b/>
                <w:bCs/>
                <w:color w:val="000000"/>
                <w:sz w:val="18"/>
                <w:szCs w:val="18"/>
              </w:rPr>
            </w:pP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04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r>
      <w:tr w:rsidR="001A1462" w:rsidTr="001A1462">
        <w:trPr>
          <w:trHeight w:val="19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PONTECOULANT</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Jean-Pierre MOURICE</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r>
      <w:tr w:rsidR="001A1462" w:rsidTr="001A1462">
        <w:trPr>
          <w:trHeight w:val="234"/>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Manuel MACHADO</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r>
      <w:tr w:rsidR="001A1462" w:rsidTr="001A1462">
        <w:trPr>
          <w:trHeight w:val="216"/>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 Jean TURMEL </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rPr>
                <w:sz w:val="20"/>
                <w:szCs w:val="20"/>
              </w:rPr>
            </w:pPr>
          </w:p>
        </w:tc>
      </w:tr>
      <w:tr w:rsidR="001A1462" w:rsidTr="001A1462">
        <w:trPr>
          <w:trHeight w:val="24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BEAUMESNIL</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Gilles PORQUET</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112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rPr>
                <w:sz w:val="20"/>
                <w:szCs w:val="20"/>
              </w:rPr>
            </w:pPr>
          </w:p>
        </w:tc>
      </w:tr>
      <w:tr w:rsidR="001A1462" w:rsidTr="001A1462">
        <w:trPr>
          <w:trHeight w:val="221"/>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CAMPAGNOLLES</w:t>
            </w:r>
          </w:p>
        </w:tc>
      </w:tr>
      <w:tr w:rsidR="001A1462" w:rsidTr="001A1462">
        <w:trPr>
          <w:trHeight w:val="278"/>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1A1462" w:rsidRPr="00973A6C" w:rsidRDefault="001A1462" w:rsidP="001A1462">
            <w:pPr>
              <w:jc w:val="center"/>
              <w:rPr>
                <w:rFonts w:ascii="Calibri" w:hAnsi="Calibri"/>
                <w:b/>
                <w:bCs/>
                <w:color w:val="000000"/>
                <w:sz w:val="17"/>
                <w:szCs w:val="17"/>
              </w:rPr>
            </w:pPr>
            <w:r w:rsidRPr="00973A6C">
              <w:rPr>
                <w:rFonts w:ascii="Calibri" w:hAnsi="Calibri"/>
                <w:b/>
                <w:bCs/>
                <w:color w:val="000000"/>
                <w:sz w:val="17"/>
                <w:szCs w:val="17"/>
              </w:rPr>
              <w:t>X : M. Jacques FAUTRARD</w:t>
            </w:r>
          </w:p>
        </w:tc>
        <w:tc>
          <w:tcPr>
            <w:tcW w:w="226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88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r>
      <w:tr w:rsidR="001A1462" w:rsidTr="001A1462">
        <w:trPr>
          <w:trHeight w:val="17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 Denis JOUAULT </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r>
      <w:tr w:rsidR="001A1462" w:rsidTr="001A1462">
        <w:trPr>
          <w:trHeight w:val="6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Jean-Claude RUAULT</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r>
      <w:tr w:rsidR="001A1462" w:rsidTr="001A1462">
        <w:trPr>
          <w:trHeight w:val="197"/>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NOUES-DE-SIENNE</w:t>
            </w:r>
          </w:p>
        </w:tc>
      </w:tr>
      <w:tr w:rsidR="001A1462" w:rsidTr="001A1462">
        <w:trPr>
          <w:trHeight w:val="324"/>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Coraline BRISON- VALOGNES</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1A1462" w:rsidRDefault="001A1462" w:rsidP="001A146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Olivier JEANNEAU</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Mme Colette JOUAULT </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Bernadette LEROY</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Georges RAVENEL</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r>
      <w:tr w:rsidR="001A1462" w:rsidTr="001A1462">
        <w:trPr>
          <w:trHeight w:val="15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PONT-BELLANGER</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Christian MARIETTE</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rPr>
                <w:sz w:val="20"/>
                <w:szCs w:val="20"/>
              </w:rPr>
            </w:pPr>
          </w:p>
        </w:tc>
      </w:tr>
      <w:tr w:rsidR="001A1462" w:rsidTr="001A1462">
        <w:trPr>
          <w:trHeight w:val="195"/>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Maurice ANNE</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r>
      <w:tr w:rsidR="001A1462" w:rsidTr="001A1462">
        <w:trPr>
          <w:trHeight w:val="206"/>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Catherine GARNIER</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112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880" w:type="dxa"/>
            <w:tcBorders>
              <w:top w:val="nil"/>
              <w:left w:val="nil"/>
              <w:bottom w:val="nil"/>
              <w:right w:val="nil"/>
            </w:tcBorders>
            <w:shd w:val="clear" w:color="auto" w:fill="auto"/>
            <w:noWrap/>
            <w:vAlign w:val="bottom"/>
            <w:hideMark/>
          </w:tcPr>
          <w:p w:rsidR="001A1462" w:rsidRDefault="001A1462" w:rsidP="001A1462">
            <w:pPr>
              <w:rPr>
                <w:sz w:val="20"/>
                <w:szCs w:val="20"/>
              </w:rPr>
            </w:pPr>
          </w:p>
        </w:tc>
      </w:tr>
      <w:tr w:rsidR="001A1462" w:rsidTr="001A1462">
        <w:trPr>
          <w:trHeight w:val="74"/>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Annick ALLAIN</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right w:val="single" w:sz="4" w:space="0" w:color="auto"/>
            </w:tcBorders>
            <w:shd w:val="clear" w:color="000000" w:fill="D9D9D9"/>
            <w:noWrap/>
            <w:vAlign w:val="bottom"/>
            <w:hideMark/>
          </w:tcPr>
          <w:p w:rsidR="001A1462" w:rsidRDefault="001A1462" w:rsidP="001A1462">
            <w:pPr>
              <w:jc w:val="center"/>
              <w:rPr>
                <w:rFonts w:ascii="Calibri" w:hAnsi="Calibri"/>
                <w:color w:val="000000"/>
                <w:sz w:val="18"/>
                <w:szCs w:val="18"/>
              </w:rPr>
            </w:pPr>
            <w:r>
              <w:rPr>
                <w:rFonts w:ascii="Calibri" w:hAnsi="Calibri"/>
                <w:color w:val="000000"/>
                <w:sz w:val="18"/>
                <w:szCs w:val="18"/>
              </w:rPr>
              <w:t> </w:t>
            </w:r>
          </w:p>
          <w:p w:rsidR="001A1462" w:rsidRDefault="001A1462" w:rsidP="001A146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Alain DECLOMESNIL</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1A1462" w:rsidRDefault="001A1462" w:rsidP="001A1462">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Régis DELIQUAIRE</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1A1462" w:rsidRDefault="001A1462" w:rsidP="001A1462">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Didier DUCHEMIN</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1A1462" w:rsidRDefault="001A1462" w:rsidP="001A1462">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Marc GUILLAUMIN</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1A1462" w:rsidRDefault="001A1462" w:rsidP="001A1462">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Francis HERMON</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1A1462" w:rsidRDefault="001A1462" w:rsidP="001A1462">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Marie-Line LEVALLOIS</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1A1462" w:rsidRDefault="001A1462" w:rsidP="001A1462">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Eric MARTIN</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1A1462" w:rsidRDefault="001A1462" w:rsidP="001A1462">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Natacha MASSIEU</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vAlign w:val="center"/>
            <w:hideMark/>
          </w:tcPr>
          <w:p w:rsidR="001A1462" w:rsidRDefault="001A1462" w:rsidP="001A1462">
            <w:pPr>
              <w:jc w:val="cente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Sandrine SAMSON</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000000" w:fill="D9D9D9"/>
            <w:noWrap/>
            <w:vAlign w:val="bottom"/>
            <w:hideMark/>
          </w:tcPr>
          <w:p w:rsidR="001A1462" w:rsidRDefault="001A1462" w:rsidP="001A1462">
            <w:pPr>
              <w:jc w:val="cente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 : M. Marc GUILLAUMIN</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Cyndi THOMAS</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bottom"/>
            <w:hideMark/>
          </w:tcPr>
          <w:p w:rsidR="001A1462" w:rsidRDefault="001A1462" w:rsidP="001A1462">
            <w:pP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rPr>
                <w:sz w:val="20"/>
                <w:szCs w:val="20"/>
              </w:rPr>
            </w:pPr>
          </w:p>
        </w:tc>
      </w:tr>
    </w:tbl>
    <w:p w:rsidR="001A1462" w:rsidRDefault="001A1462" w:rsidP="001A1462">
      <w:r>
        <w:br w:type="page"/>
      </w:r>
    </w:p>
    <w:tbl>
      <w:tblPr>
        <w:tblW w:w="10040" w:type="dxa"/>
        <w:tblInd w:w="-294" w:type="dxa"/>
        <w:tblCellMar>
          <w:left w:w="70" w:type="dxa"/>
          <w:right w:w="70" w:type="dxa"/>
        </w:tblCellMar>
        <w:tblLook w:val="04A0" w:firstRow="1" w:lastRow="0" w:firstColumn="1" w:lastColumn="0" w:noHBand="0" w:noVBand="1"/>
      </w:tblPr>
      <w:tblGrid>
        <w:gridCol w:w="2839"/>
        <w:gridCol w:w="901"/>
        <w:gridCol w:w="2040"/>
        <w:gridCol w:w="2260"/>
        <w:gridCol w:w="1120"/>
        <w:gridCol w:w="880"/>
      </w:tblGrid>
      <w:tr w:rsidR="001A1462" w:rsidTr="001A1462">
        <w:trPr>
          <w:trHeight w:val="192"/>
        </w:trPr>
        <w:tc>
          <w:tcPr>
            <w:tcW w:w="2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Absents</w:t>
            </w:r>
          </w:p>
        </w:tc>
      </w:tr>
      <w:tr w:rsidR="001A1462" w:rsidTr="001A1462">
        <w:trPr>
          <w:trHeight w:val="1632"/>
        </w:trPr>
        <w:tc>
          <w:tcPr>
            <w:tcW w:w="2839" w:type="dxa"/>
            <w:vMerge/>
            <w:tcBorders>
              <w:top w:val="single" w:sz="8" w:space="0" w:color="auto"/>
              <w:left w:val="single" w:sz="8" w:space="0" w:color="auto"/>
              <w:bottom w:val="single" w:sz="8" w:space="0" w:color="000000"/>
              <w:right w:val="single" w:sz="4" w:space="0" w:color="auto"/>
            </w:tcBorders>
            <w:vAlign w:val="center"/>
            <w:hideMark/>
          </w:tcPr>
          <w:p w:rsidR="001A1462" w:rsidRDefault="001A1462" w:rsidP="001A1462">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1A1462" w:rsidRDefault="001A1462" w:rsidP="001A146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1A1462" w:rsidRDefault="001A1462" w:rsidP="001A1462">
            <w:pPr>
              <w:rPr>
                <w:rFonts w:ascii="Arial" w:hAnsi="Arial" w:cs="Arial"/>
                <w:b/>
                <w:bCs/>
                <w:color w:val="000000"/>
                <w:sz w:val="18"/>
                <w:szCs w:val="18"/>
              </w:rPr>
            </w:pPr>
          </w:p>
        </w:tc>
      </w:tr>
      <w:tr w:rsidR="001A1462" w:rsidTr="001A1462">
        <w:trPr>
          <w:trHeight w:val="113"/>
        </w:trPr>
        <w:tc>
          <w:tcPr>
            <w:tcW w:w="2839" w:type="dxa"/>
            <w:tcBorders>
              <w:top w:val="nil"/>
              <w:left w:val="nil"/>
              <w:bottom w:val="single" w:sz="4" w:space="0" w:color="auto"/>
              <w:right w:val="nil"/>
            </w:tcBorders>
            <w:shd w:val="clear" w:color="auto" w:fill="auto"/>
            <w:vAlign w:val="center"/>
            <w:hideMark/>
          </w:tcPr>
          <w:p w:rsidR="001A1462" w:rsidRDefault="001A1462" w:rsidP="001A1462">
            <w:pPr>
              <w:jc w:val="center"/>
              <w:rPr>
                <w:rFonts w:ascii="Arial" w:hAnsi="Arial" w:cs="Arial"/>
                <w:b/>
                <w:bCs/>
                <w:color w:val="000000"/>
                <w:sz w:val="18"/>
                <w:szCs w:val="18"/>
              </w:rPr>
            </w:pPr>
          </w:p>
        </w:tc>
        <w:tc>
          <w:tcPr>
            <w:tcW w:w="901" w:type="dxa"/>
            <w:tcBorders>
              <w:top w:val="nil"/>
              <w:left w:val="nil"/>
              <w:bottom w:val="single" w:sz="4" w:space="0" w:color="auto"/>
              <w:right w:val="nil"/>
            </w:tcBorders>
            <w:shd w:val="clear" w:color="auto" w:fill="auto"/>
            <w:vAlign w:val="center"/>
            <w:hideMark/>
          </w:tcPr>
          <w:p w:rsidR="001A1462" w:rsidRDefault="001A1462" w:rsidP="001A1462">
            <w:pPr>
              <w:jc w:val="center"/>
              <w:rPr>
                <w:sz w:val="20"/>
                <w:szCs w:val="20"/>
              </w:rPr>
            </w:pPr>
          </w:p>
        </w:tc>
        <w:tc>
          <w:tcPr>
            <w:tcW w:w="2040" w:type="dxa"/>
            <w:tcBorders>
              <w:top w:val="nil"/>
              <w:left w:val="nil"/>
              <w:bottom w:val="single" w:sz="4" w:space="0" w:color="auto"/>
              <w:right w:val="nil"/>
            </w:tcBorders>
            <w:shd w:val="clear" w:color="auto" w:fill="auto"/>
            <w:vAlign w:val="center"/>
            <w:hideMark/>
          </w:tcPr>
          <w:p w:rsidR="001A1462" w:rsidRDefault="001A1462" w:rsidP="001A1462">
            <w:pPr>
              <w:jc w:val="center"/>
              <w:rPr>
                <w:sz w:val="20"/>
                <w:szCs w:val="20"/>
              </w:rPr>
            </w:pPr>
          </w:p>
        </w:tc>
        <w:tc>
          <w:tcPr>
            <w:tcW w:w="2260" w:type="dxa"/>
            <w:tcBorders>
              <w:top w:val="nil"/>
              <w:left w:val="nil"/>
              <w:bottom w:val="single" w:sz="4" w:space="0" w:color="auto"/>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single" w:sz="4" w:space="0" w:color="auto"/>
              <w:right w:val="nil"/>
            </w:tcBorders>
            <w:shd w:val="clear" w:color="auto" w:fill="auto"/>
            <w:vAlign w:val="center"/>
            <w:hideMark/>
          </w:tcPr>
          <w:p w:rsidR="001A1462" w:rsidRDefault="001A1462" w:rsidP="001A1462">
            <w:pPr>
              <w:jc w:val="center"/>
              <w:rPr>
                <w:sz w:val="20"/>
                <w:szCs w:val="20"/>
              </w:rPr>
            </w:pPr>
          </w:p>
        </w:tc>
        <w:tc>
          <w:tcPr>
            <w:tcW w:w="880" w:type="dxa"/>
            <w:tcBorders>
              <w:top w:val="nil"/>
              <w:left w:val="nil"/>
              <w:bottom w:val="single" w:sz="4" w:space="0" w:color="auto"/>
              <w:right w:val="nil"/>
            </w:tcBorders>
            <w:shd w:val="clear" w:color="auto" w:fill="auto"/>
            <w:vAlign w:val="center"/>
            <w:hideMark/>
          </w:tcPr>
          <w:p w:rsidR="001A1462" w:rsidRDefault="001A1462" w:rsidP="001A1462">
            <w:pPr>
              <w:jc w:val="center"/>
              <w:rPr>
                <w:sz w:val="20"/>
                <w:szCs w:val="20"/>
              </w:rPr>
            </w:pPr>
          </w:p>
        </w:tc>
      </w:tr>
      <w:tr w:rsidR="001A1462" w:rsidTr="001A1462">
        <w:trPr>
          <w:trHeight w:val="108"/>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VALDALLIERE</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Jean-Paul ANGENEAU</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right w:val="single" w:sz="4" w:space="0" w:color="auto"/>
            </w:tcBorders>
            <w:shd w:val="clear" w:color="000000" w:fill="D9D9D9"/>
            <w:noWrap/>
            <w:vAlign w:val="bottom"/>
            <w:hideMark/>
          </w:tcPr>
          <w:p w:rsidR="001A1462" w:rsidRDefault="001A1462" w:rsidP="001A146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 : M. Frédéric BROGNIART</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 Frédéric BROGNIART </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 xml:space="preserve">Mme Caroline CHANU </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Marie-Françoise DAUPRAT</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Gilles FAUCON</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r>
      <w:tr w:rsidR="001A1462" w:rsidTr="001A1462">
        <w:trPr>
          <w:trHeight w:val="255"/>
        </w:trPr>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Brigitte MENNIER</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right w:val="single" w:sz="4" w:space="0" w:color="auto"/>
            </w:tcBorders>
            <w:shd w:val="clear" w:color="auto" w:fill="D9D9D9" w:themeFill="background1" w:themeFillShade="D9"/>
            <w:vAlign w:val="center"/>
            <w:hideMark/>
          </w:tcPr>
          <w:p w:rsidR="001A1462" w:rsidRDefault="001A1462" w:rsidP="001A1462">
            <w:pPr>
              <w:rPr>
                <w:rFonts w:ascii="Calibri" w:hAnsi="Calibri"/>
                <w:color w:val="000000"/>
                <w:sz w:val="18"/>
                <w:szCs w:val="18"/>
              </w:rPr>
            </w:pP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Sabrina SCOLA</w:t>
            </w:r>
          </w:p>
        </w:tc>
        <w:tc>
          <w:tcPr>
            <w:tcW w:w="901" w:type="dxa"/>
            <w:tcBorders>
              <w:top w:val="single" w:sz="4" w:space="0" w:color="auto"/>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left w:val="single" w:sz="4" w:space="0" w:color="auto"/>
              <w:bottom w:val="single" w:sz="8" w:space="0" w:color="000000"/>
              <w:right w:val="single" w:sz="4" w:space="0" w:color="auto"/>
            </w:tcBorders>
            <w:shd w:val="clear" w:color="auto" w:fill="D9D9D9" w:themeFill="background1" w:themeFillShade="D9"/>
            <w:vAlign w:val="center"/>
            <w:hideMark/>
          </w:tcPr>
          <w:p w:rsidR="001A1462" w:rsidRDefault="001A1462" w:rsidP="001A1462">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noWrap/>
            <w:vAlign w:val="center"/>
            <w:hideMark/>
          </w:tcPr>
          <w:p w:rsidR="001A1462" w:rsidRDefault="001A1462" w:rsidP="001A1462">
            <w:pPr>
              <w:jc w:val="center"/>
              <w:rPr>
                <w:sz w:val="20"/>
                <w:szCs w:val="20"/>
              </w:rPr>
            </w:pPr>
          </w:p>
        </w:tc>
      </w:tr>
      <w:tr w:rsidR="001A1462" w:rsidTr="001A1462">
        <w:trPr>
          <w:trHeight w:val="60"/>
        </w:trPr>
        <w:tc>
          <w:tcPr>
            <w:tcW w:w="100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A1462" w:rsidRDefault="001A1462" w:rsidP="001A1462">
            <w:pPr>
              <w:rPr>
                <w:rFonts w:ascii="Calibri" w:hAnsi="Calibri"/>
                <w:b/>
                <w:bCs/>
                <w:color w:val="000000"/>
                <w:sz w:val="18"/>
                <w:szCs w:val="18"/>
                <w:u w:val="single"/>
              </w:rPr>
            </w:pPr>
            <w:r>
              <w:rPr>
                <w:rFonts w:ascii="Calibri" w:hAnsi="Calibri"/>
                <w:b/>
                <w:bCs/>
                <w:color w:val="000000"/>
                <w:sz w:val="18"/>
                <w:szCs w:val="18"/>
                <w:u w:val="single"/>
              </w:rPr>
              <w:t>VIRE NORMANDIE</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Marc ANDREU SABATER</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1A1462" w:rsidRDefault="001A1462" w:rsidP="001A146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color w:val="000000"/>
                <w:sz w:val="18"/>
                <w:szCs w:val="18"/>
              </w:rPr>
            </w:pPr>
            <w:r>
              <w:rPr>
                <w:rFonts w:ascii="Calibri" w:hAnsi="Calibri"/>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Marie-Noëlle BALLE</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Lucien BAZIN</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Marie-Ange CORDIER</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Serge COUASNON</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Nicole DESMOTTES</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Sylvie GELEZ</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Corentin GOETHALS</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Catherine MADELAINE</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Gilles MALOISEL</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Pascal MARTIN</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Gérard MARY</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Marie-Odile MOREL</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Valérie OLLIVIER</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Régis PICOT</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single" w:sz="4"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Jane PIGAULT</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nil"/>
              <w:left w:val="single" w:sz="8" w:space="0" w:color="auto"/>
              <w:bottom w:val="nil"/>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Mme Annie ROSSI</w:t>
            </w:r>
          </w:p>
        </w:tc>
        <w:tc>
          <w:tcPr>
            <w:tcW w:w="901" w:type="dxa"/>
            <w:tcBorders>
              <w:top w:val="nil"/>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255"/>
        </w:trPr>
        <w:tc>
          <w:tcPr>
            <w:tcW w:w="283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A1462" w:rsidRDefault="001A1462" w:rsidP="001A1462">
            <w:pPr>
              <w:rPr>
                <w:rFonts w:ascii="Arial" w:hAnsi="Arial" w:cs="Arial"/>
                <w:color w:val="000000"/>
                <w:sz w:val="18"/>
                <w:szCs w:val="18"/>
              </w:rPr>
            </w:pPr>
            <w:r>
              <w:rPr>
                <w:rFonts w:ascii="Arial" w:hAnsi="Arial" w:cs="Arial"/>
                <w:color w:val="000000"/>
                <w:sz w:val="18"/>
                <w:szCs w:val="18"/>
              </w:rPr>
              <w:t>M. Guy VELANY</w:t>
            </w:r>
          </w:p>
        </w:tc>
        <w:tc>
          <w:tcPr>
            <w:tcW w:w="901" w:type="dxa"/>
            <w:tcBorders>
              <w:top w:val="nil"/>
              <w:left w:val="nil"/>
              <w:bottom w:val="single" w:sz="8"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1A1462" w:rsidRDefault="001A1462" w:rsidP="001A1462">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1A1462" w:rsidRDefault="001A1462" w:rsidP="001A1462">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 </w:t>
            </w:r>
          </w:p>
        </w:tc>
      </w:tr>
      <w:tr w:rsidR="001A1462" w:rsidTr="001A1462">
        <w:trPr>
          <w:trHeight w:val="113"/>
        </w:trPr>
        <w:tc>
          <w:tcPr>
            <w:tcW w:w="2839" w:type="dxa"/>
            <w:tcBorders>
              <w:top w:val="nil"/>
              <w:left w:val="nil"/>
              <w:bottom w:val="nil"/>
              <w:right w:val="nil"/>
            </w:tcBorders>
            <w:shd w:val="clear" w:color="auto" w:fill="auto"/>
            <w:vAlign w:val="center"/>
            <w:hideMark/>
          </w:tcPr>
          <w:p w:rsidR="001A1462" w:rsidRDefault="001A1462" w:rsidP="001A1462">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1A1462" w:rsidRDefault="001A1462" w:rsidP="001A1462">
            <w:pPr>
              <w:rPr>
                <w:sz w:val="20"/>
                <w:szCs w:val="20"/>
              </w:rPr>
            </w:pPr>
          </w:p>
        </w:tc>
        <w:tc>
          <w:tcPr>
            <w:tcW w:w="204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2260" w:type="dxa"/>
            <w:tcBorders>
              <w:top w:val="nil"/>
              <w:left w:val="nil"/>
              <w:bottom w:val="nil"/>
              <w:right w:val="nil"/>
            </w:tcBorders>
            <w:shd w:val="clear" w:color="auto" w:fill="auto"/>
            <w:vAlign w:val="center"/>
            <w:hideMark/>
          </w:tcPr>
          <w:p w:rsidR="001A1462" w:rsidRDefault="001A1462" w:rsidP="001A1462">
            <w:pPr>
              <w:jc w:val="center"/>
              <w:rPr>
                <w:sz w:val="20"/>
                <w:szCs w:val="20"/>
              </w:rPr>
            </w:pPr>
          </w:p>
        </w:tc>
        <w:tc>
          <w:tcPr>
            <w:tcW w:w="1120" w:type="dxa"/>
            <w:tcBorders>
              <w:top w:val="nil"/>
              <w:left w:val="nil"/>
              <w:bottom w:val="nil"/>
              <w:right w:val="nil"/>
            </w:tcBorders>
            <w:shd w:val="clear" w:color="auto" w:fill="auto"/>
            <w:noWrap/>
            <w:vAlign w:val="bottom"/>
            <w:hideMark/>
          </w:tcPr>
          <w:p w:rsidR="001A1462" w:rsidRDefault="001A1462" w:rsidP="001A1462">
            <w:pPr>
              <w:jc w:val="center"/>
              <w:rPr>
                <w:sz w:val="20"/>
                <w:szCs w:val="20"/>
              </w:rPr>
            </w:pPr>
          </w:p>
        </w:tc>
        <w:tc>
          <w:tcPr>
            <w:tcW w:w="880" w:type="dxa"/>
            <w:tcBorders>
              <w:top w:val="nil"/>
              <w:left w:val="nil"/>
              <w:bottom w:val="nil"/>
              <w:right w:val="nil"/>
            </w:tcBorders>
            <w:shd w:val="clear" w:color="auto" w:fill="auto"/>
            <w:noWrap/>
            <w:vAlign w:val="bottom"/>
            <w:hideMark/>
          </w:tcPr>
          <w:p w:rsidR="001A1462" w:rsidRDefault="001A1462" w:rsidP="001A1462">
            <w:pPr>
              <w:rPr>
                <w:sz w:val="20"/>
                <w:szCs w:val="20"/>
              </w:rPr>
            </w:pPr>
          </w:p>
        </w:tc>
      </w:tr>
      <w:tr w:rsidR="001A1462" w:rsidTr="001A1462">
        <w:trPr>
          <w:trHeight w:val="191"/>
        </w:trPr>
        <w:tc>
          <w:tcPr>
            <w:tcW w:w="283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TOTAL</w:t>
            </w:r>
          </w:p>
        </w:tc>
        <w:tc>
          <w:tcPr>
            <w:tcW w:w="901" w:type="dxa"/>
            <w:tcBorders>
              <w:top w:val="single" w:sz="8"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51</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1</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3</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2</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4</w:t>
            </w:r>
          </w:p>
        </w:tc>
      </w:tr>
      <w:tr w:rsidR="001A1462" w:rsidTr="001A1462">
        <w:trPr>
          <w:trHeight w:val="204"/>
        </w:trPr>
        <w:tc>
          <w:tcPr>
            <w:tcW w:w="3740" w:type="dxa"/>
            <w:gridSpan w:val="2"/>
            <w:tcBorders>
              <w:top w:val="single" w:sz="4" w:space="0" w:color="auto"/>
              <w:left w:val="single" w:sz="8" w:space="0" w:color="auto"/>
              <w:bottom w:val="nil"/>
              <w:right w:val="single" w:sz="4" w:space="0" w:color="000000"/>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61</w:t>
            </w:r>
          </w:p>
        </w:tc>
      </w:tr>
      <w:tr w:rsidR="001A1462" w:rsidTr="001A1462">
        <w:trPr>
          <w:trHeight w:val="249"/>
        </w:trPr>
        <w:tc>
          <w:tcPr>
            <w:tcW w:w="37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52</w:t>
            </w:r>
          </w:p>
        </w:tc>
      </w:tr>
      <w:tr w:rsidR="001A1462" w:rsidTr="001A1462">
        <w:trPr>
          <w:trHeight w:val="1821"/>
        </w:trPr>
        <w:tc>
          <w:tcPr>
            <w:tcW w:w="37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21</w:t>
            </w:r>
          </w:p>
        </w:tc>
      </w:tr>
      <w:tr w:rsidR="001A1462" w:rsidTr="001A1462">
        <w:trPr>
          <w:trHeight w:val="2105"/>
        </w:trPr>
        <w:tc>
          <w:tcPr>
            <w:tcW w:w="37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A1462" w:rsidRDefault="001A1462" w:rsidP="001A1462">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1A1462" w:rsidRDefault="001A1462" w:rsidP="001A1462">
            <w:pPr>
              <w:jc w:val="center"/>
              <w:rPr>
                <w:rFonts w:ascii="Calibri" w:hAnsi="Calibri"/>
                <w:b/>
                <w:bCs/>
                <w:color w:val="000000"/>
                <w:sz w:val="18"/>
                <w:szCs w:val="18"/>
              </w:rPr>
            </w:pPr>
            <w:r>
              <w:rPr>
                <w:rFonts w:ascii="Calibri" w:hAnsi="Calibri"/>
                <w:b/>
                <w:bCs/>
                <w:color w:val="000000"/>
                <w:sz w:val="18"/>
                <w:szCs w:val="18"/>
              </w:rPr>
              <w:t>55</w:t>
            </w:r>
          </w:p>
        </w:tc>
      </w:tr>
    </w:tbl>
    <w:p w:rsidR="001A1462" w:rsidRDefault="001A1462" w:rsidP="001A1462">
      <w:pPr>
        <w:ind w:right="-851" w:firstLine="708"/>
        <w:jc w:val="both"/>
        <w:rPr>
          <w:rFonts w:ascii="Arial" w:hAnsi="Arial" w:cs="Arial"/>
          <w:sz w:val="12"/>
          <w:szCs w:val="12"/>
        </w:rPr>
      </w:pPr>
    </w:p>
    <w:p w:rsidR="00014AE9" w:rsidRPr="00F60A16" w:rsidRDefault="00A15B7C" w:rsidP="001B0BDC">
      <w:pPr>
        <w:ind w:right="-851"/>
        <w:jc w:val="both"/>
        <w:rPr>
          <w:rFonts w:ascii="Arial" w:hAnsi="Arial" w:cs="Arial"/>
          <w:b/>
          <w:sz w:val="20"/>
        </w:rPr>
      </w:pPr>
      <w:sdt>
        <w:sdtPr>
          <w:rPr>
            <w:rFonts w:ascii="Arial" w:hAnsi="Arial" w:cs="Arial"/>
            <w:b/>
            <w:sz w:val="20"/>
          </w:rPr>
          <w:id w:val="18689018"/>
          <w:placeholder>
            <w:docPart w:val="1676239113F04694BD43477EF83253F5"/>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165188">
            <w:rPr>
              <w:rFonts w:ascii="Arial" w:hAnsi="Arial" w:cs="Arial"/>
              <w:b/>
              <w:sz w:val="20"/>
            </w:rPr>
            <w:t>M. Georges RAVENEL</w:t>
          </w:r>
        </w:sdtContent>
      </w:sdt>
      <w:r w:rsidR="00535176">
        <w:rPr>
          <w:rFonts w:ascii="Arial" w:hAnsi="Arial" w:cs="Arial"/>
          <w:b/>
          <w:sz w:val="20"/>
        </w:rPr>
        <w:t xml:space="preserve"> </w:t>
      </w:r>
      <w:proofErr w:type="gramStart"/>
      <w:r w:rsidR="00014AE9" w:rsidRPr="00F60A16">
        <w:rPr>
          <w:rFonts w:ascii="Arial" w:hAnsi="Arial" w:cs="Arial"/>
          <w:b/>
          <w:sz w:val="20"/>
        </w:rPr>
        <w:t>donne</w:t>
      </w:r>
      <w:proofErr w:type="gramEnd"/>
      <w:r w:rsidR="00014AE9" w:rsidRPr="00F60A16">
        <w:rPr>
          <w:rFonts w:ascii="Arial" w:hAnsi="Arial" w:cs="Arial"/>
          <w:b/>
          <w:sz w:val="20"/>
        </w:rPr>
        <w:t xml:space="preserv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bookmarkStart w:id="0" w:name="_GoBack"/>
      <w:r>
        <w:rPr>
          <w:rFonts w:ascii="Arial" w:hAnsi="Arial" w:cs="Arial"/>
          <w:sz w:val="20"/>
        </w:rPr>
        <w:t>Chers collègues,</w:t>
      </w:r>
    </w:p>
    <w:bookmarkEnd w:id="0"/>
    <w:p w:rsidR="00014AE9" w:rsidRPr="0020047A" w:rsidRDefault="00014AE9" w:rsidP="001B0BDC">
      <w:pPr>
        <w:ind w:right="-290"/>
        <w:jc w:val="both"/>
        <w:rPr>
          <w:rFonts w:ascii="Arial" w:hAnsi="Arial" w:cs="Arial"/>
          <w:sz w:val="12"/>
          <w:szCs w:val="12"/>
        </w:rPr>
      </w:pPr>
    </w:p>
    <w:p w:rsidR="00B9412A" w:rsidRPr="0084709B" w:rsidRDefault="00B9412A" w:rsidP="00B9412A">
      <w:pPr>
        <w:ind w:left="24" w:hanging="10"/>
        <w:jc w:val="both"/>
        <w:rPr>
          <w:rFonts w:ascii="Arial" w:hAnsi="Arial" w:cs="Arial"/>
          <w:sz w:val="20"/>
          <w:szCs w:val="20"/>
        </w:rPr>
      </w:pPr>
      <w:r w:rsidRPr="0084709B">
        <w:rPr>
          <w:rFonts w:ascii="Arial" w:hAnsi="Arial" w:cs="Arial"/>
          <w:sz w:val="20"/>
          <w:szCs w:val="20"/>
        </w:rPr>
        <w:t>Depuis 2018, l'Intercom de la Vire au Noireau, composée de 17 communes, assure la maîtrise d'ouvrage des travaux d'entretien des chemins de randonnées, d’intérêt communautaire, localisés sur son territoire et dont l'Office de tourisme assure la promotion.</w:t>
      </w:r>
    </w:p>
    <w:p w:rsidR="00B9412A" w:rsidRPr="0084709B" w:rsidRDefault="00B9412A" w:rsidP="00B9412A">
      <w:pPr>
        <w:ind w:left="24" w:hanging="10"/>
        <w:jc w:val="both"/>
        <w:rPr>
          <w:rFonts w:ascii="Arial" w:hAnsi="Arial" w:cs="Arial"/>
          <w:sz w:val="20"/>
          <w:szCs w:val="20"/>
        </w:rPr>
      </w:pPr>
      <w:r w:rsidRPr="0084709B">
        <w:rPr>
          <w:rFonts w:ascii="Arial" w:hAnsi="Arial" w:cs="Arial"/>
          <w:sz w:val="20"/>
          <w:szCs w:val="20"/>
        </w:rPr>
        <w:t>Cet entretien concerne aussi bien les chemins de randonnées pédestres, VTT, qu'équestres.</w:t>
      </w:r>
    </w:p>
    <w:p w:rsidR="00B9412A" w:rsidRPr="00C74852" w:rsidRDefault="00B9412A" w:rsidP="00B9412A">
      <w:pPr>
        <w:ind w:left="24" w:hanging="10"/>
        <w:jc w:val="both"/>
        <w:rPr>
          <w:rFonts w:ascii="Arial" w:hAnsi="Arial" w:cs="Arial"/>
          <w:sz w:val="6"/>
          <w:szCs w:val="6"/>
        </w:rPr>
      </w:pPr>
    </w:p>
    <w:p w:rsidR="00B9412A" w:rsidRPr="0084709B" w:rsidRDefault="00B9412A" w:rsidP="00B9412A">
      <w:pPr>
        <w:ind w:left="24" w:hanging="10"/>
        <w:jc w:val="both"/>
        <w:rPr>
          <w:rFonts w:ascii="Arial" w:hAnsi="Arial" w:cs="Arial"/>
          <w:sz w:val="20"/>
          <w:szCs w:val="20"/>
        </w:rPr>
      </w:pPr>
      <w:r w:rsidRPr="0084709B">
        <w:rPr>
          <w:rFonts w:ascii="Arial" w:hAnsi="Arial" w:cs="Arial"/>
          <w:sz w:val="20"/>
          <w:szCs w:val="20"/>
        </w:rPr>
        <w:t xml:space="preserve">Le marché actuel arrive à son terme, </w:t>
      </w:r>
      <w:r>
        <w:rPr>
          <w:rFonts w:ascii="Arial" w:hAnsi="Arial" w:cs="Arial"/>
          <w:sz w:val="20"/>
          <w:szCs w:val="20"/>
        </w:rPr>
        <w:t>un nouvel appel d’offre</w:t>
      </w:r>
      <w:r w:rsidRPr="0084709B">
        <w:rPr>
          <w:rFonts w:ascii="Arial" w:hAnsi="Arial" w:cs="Arial"/>
          <w:sz w:val="20"/>
          <w:szCs w:val="20"/>
        </w:rPr>
        <w:t xml:space="preserve"> doit être lancé pour la période 2022-2023-2024. </w:t>
      </w:r>
    </w:p>
    <w:p w:rsidR="00B9412A" w:rsidRPr="00C74852" w:rsidRDefault="00B9412A" w:rsidP="00B9412A">
      <w:pPr>
        <w:ind w:left="24" w:hanging="10"/>
        <w:jc w:val="both"/>
        <w:rPr>
          <w:rFonts w:ascii="Arial" w:hAnsi="Arial" w:cs="Arial"/>
          <w:sz w:val="6"/>
          <w:szCs w:val="6"/>
        </w:rPr>
      </w:pPr>
    </w:p>
    <w:p w:rsidR="00B9412A" w:rsidRPr="0084709B" w:rsidRDefault="00B9412A" w:rsidP="00B9412A">
      <w:pPr>
        <w:ind w:left="24" w:hanging="10"/>
        <w:jc w:val="both"/>
        <w:rPr>
          <w:rFonts w:ascii="Arial" w:hAnsi="Arial" w:cs="Arial"/>
          <w:sz w:val="20"/>
          <w:szCs w:val="20"/>
        </w:rPr>
      </w:pPr>
      <w:r w:rsidRPr="0084709B">
        <w:rPr>
          <w:rFonts w:ascii="Arial" w:hAnsi="Arial" w:cs="Arial"/>
          <w:sz w:val="20"/>
          <w:szCs w:val="20"/>
        </w:rPr>
        <w:t>Le marché se décompose en 2 lots :</w:t>
      </w:r>
    </w:p>
    <w:p w:rsidR="00B9412A" w:rsidRPr="00C74852" w:rsidRDefault="00B9412A" w:rsidP="00B9412A">
      <w:pPr>
        <w:ind w:left="24" w:hanging="10"/>
        <w:jc w:val="both"/>
        <w:rPr>
          <w:rFonts w:ascii="Arial" w:hAnsi="Arial" w:cs="Arial"/>
          <w:sz w:val="6"/>
          <w:szCs w:val="6"/>
        </w:rPr>
      </w:pPr>
    </w:p>
    <w:p w:rsidR="00B9412A" w:rsidRPr="0084709B" w:rsidRDefault="00B9412A" w:rsidP="00B9412A">
      <w:pPr>
        <w:pStyle w:val="Paragraphedeliste"/>
        <w:numPr>
          <w:ilvl w:val="0"/>
          <w:numId w:val="12"/>
        </w:numPr>
        <w:jc w:val="both"/>
        <w:rPr>
          <w:rFonts w:ascii="Arial" w:hAnsi="Arial" w:cs="Arial"/>
          <w:sz w:val="20"/>
          <w:szCs w:val="20"/>
        </w:rPr>
      </w:pPr>
      <w:r w:rsidRPr="0084709B">
        <w:rPr>
          <w:rFonts w:ascii="Arial" w:hAnsi="Arial" w:cs="Arial"/>
          <w:b/>
          <w:sz w:val="20"/>
          <w:szCs w:val="20"/>
          <w:u w:val="single"/>
        </w:rPr>
        <w:t>LOT 1</w:t>
      </w:r>
      <w:r w:rsidRPr="0084709B">
        <w:rPr>
          <w:rFonts w:ascii="Arial" w:hAnsi="Arial" w:cs="Arial"/>
          <w:sz w:val="20"/>
          <w:szCs w:val="20"/>
        </w:rPr>
        <w:t xml:space="preserve"> : chemins concernant les communes de Condé</w:t>
      </w:r>
      <w:r>
        <w:rPr>
          <w:rFonts w:ascii="Arial" w:hAnsi="Arial" w:cs="Arial"/>
          <w:sz w:val="20"/>
          <w:szCs w:val="20"/>
        </w:rPr>
        <w:t>-</w:t>
      </w:r>
      <w:r w:rsidRPr="0084709B">
        <w:rPr>
          <w:rFonts w:ascii="Arial" w:hAnsi="Arial" w:cs="Arial"/>
          <w:sz w:val="20"/>
          <w:szCs w:val="20"/>
        </w:rPr>
        <w:t>en</w:t>
      </w:r>
      <w:r>
        <w:rPr>
          <w:rFonts w:ascii="Arial" w:hAnsi="Arial" w:cs="Arial"/>
          <w:sz w:val="20"/>
          <w:szCs w:val="20"/>
        </w:rPr>
        <w:t>-</w:t>
      </w:r>
      <w:r w:rsidRPr="0084709B">
        <w:rPr>
          <w:rFonts w:ascii="Arial" w:hAnsi="Arial" w:cs="Arial"/>
          <w:sz w:val="20"/>
          <w:szCs w:val="20"/>
        </w:rPr>
        <w:t>Normandie, Périgny, Pontécoulant, Saint</w:t>
      </w:r>
      <w:r>
        <w:rPr>
          <w:rFonts w:ascii="Arial" w:hAnsi="Arial" w:cs="Arial"/>
          <w:sz w:val="20"/>
          <w:szCs w:val="20"/>
        </w:rPr>
        <w:t>-</w:t>
      </w:r>
      <w:r w:rsidRPr="0084709B">
        <w:rPr>
          <w:rFonts w:ascii="Arial" w:hAnsi="Arial" w:cs="Arial"/>
          <w:sz w:val="20"/>
          <w:szCs w:val="20"/>
        </w:rPr>
        <w:t>Denis</w:t>
      </w:r>
      <w:r>
        <w:rPr>
          <w:rFonts w:ascii="Arial" w:hAnsi="Arial" w:cs="Arial"/>
          <w:sz w:val="20"/>
          <w:szCs w:val="20"/>
        </w:rPr>
        <w:t>-</w:t>
      </w:r>
      <w:r w:rsidRPr="0084709B">
        <w:rPr>
          <w:rFonts w:ascii="Arial" w:hAnsi="Arial" w:cs="Arial"/>
          <w:sz w:val="20"/>
          <w:szCs w:val="20"/>
        </w:rPr>
        <w:t>de</w:t>
      </w:r>
      <w:r>
        <w:rPr>
          <w:rFonts w:ascii="Arial" w:hAnsi="Arial" w:cs="Arial"/>
          <w:sz w:val="20"/>
          <w:szCs w:val="20"/>
        </w:rPr>
        <w:t>-</w:t>
      </w:r>
      <w:r w:rsidRPr="0084709B">
        <w:rPr>
          <w:rFonts w:ascii="Arial" w:hAnsi="Arial" w:cs="Arial"/>
          <w:sz w:val="20"/>
          <w:szCs w:val="20"/>
        </w:rPr>
        <w:t>Méré, Terre</w:t>
      </w:r>
      <w:r>
        <w:rPr>
          <w:rFonts w:ascii="Arial" w:hAnsi="Arial" w:cs="Arial"/>
          <w:sz w:val="20"/>
          <w:szCs w:val="20"/>
        </w:rPr>
        <w:t>s</w:t>
      </w:r>
      <w:r w:rsidRPr="0084709B">
        <w:rPr>
          <w:rFonts w:ascii="Arial" w:hAnsi="Arial" w:cs="Arial"/>
          <w:sz w:val="20"/>
          <w:szCs w:val="20"/>
        </w:rPr>
        <w:t>-d</w:t>
      </w:r>
      <w:r>
        <w:rPr>
          <w:rFonts w:ascii="Arial" w:hAnsi="Arial" w:cs="Arial"/>
          <w:sz w:val="20"/>
          <w:szCs w:val="20"/>
        </w:rPr>
        <w:t>e</w:t>
      </w:r>
      <w:r w:rsidRPr="0084709B">
        <w:rPr>
          <w:rFonts w:ascii="Arial" w:hAnsi="Arial" w:cs="Arial"/>
          <w:sz w:val="20"/>
          <w:szCs w:val="20"/>
        </w:rPr>
        <w:t>-Druance, La Villette, Valdallière, Vire Normandie, Beaumesnil, Campagnolles, Landelles</w:t>
      </w:r>
      <w:r>
        <w:rPr>
          <w:rFonts w:ascii="Arial" w:hAnsi="Arial" w:cs="Arial"/>
          <w:sz w:val="20"/>
          <w:szCs w:val="20"/>
        </w:rPr>
        <w:t>-</w:t>
      </w:r>
      <w:r w:rsidRPr="0084709B">
        <w:rPr>
          <w:rFonts w:ascii="Arial" w:hAnsi="Arial" w:cs="Arial"/>
          <w:sz w:val="20"/>
          <w:szCs w:val="20"/>
        </w:rPr>
        <w:t>et</w:t>
      </w:r>
      <w:r>
        <w:rPr>
          <w:rFonts w:ascii="Arial" w:hAnsi="Arial" w:cs="Arial"/>
          <w:sz w:val="20"/>
          <w:szCs w:val="20"/>
        </w:rPr>
        <w:t>-</w:t>
      </w:r>
      <w:r w:rsidRPr="0084709B">
        <w:rPr>
          <w:rFonts w:ascii="Arial" w:hAnsi="Arial" w:cs="Arial"/>
          <w:sz w:val="20"/>
          <w:szCs w:val="20"/>
        </w:rPr>
        <w:t>Coupigny, Le Mesnil Robert, Noues</w:t>
      </w:r>
      <w:r>
        <w:rPr>
          <w:rFonts w:ascii="Arial" w:hAnsi="Arial" w:cs="Arial"/>
          <w:sz w:val="20"/>
          <w:szCs w:val="20"/>
        </w:rPr>
        <w:t>-</w:t>
      </w:r>
      <w:r w:rsidRPr="0084709B">
        <w:rPr>
          <w:rFonts w:ascii="Arial" w:hAnsi="Arial" w:cs="Arial"/>
          <w:sz w:val="20"/>
          <w:szCs w:val="20"/>
        </w:rPr>
        <w:t>de</w:t>
      </w:r>
      <w:r>
        <w:rPr>
          <w:rFonts w:ascii="Arial" w:hAnsi="Arial" w:cs="Arial"/>
          <w:sz w:val="20"/>
          <w:szCs w:val="20"/>
        </w:rPr>
        <w:t>-</w:t>
      </w:r>
      <w:r w:rsidRPr="0084709B">
        <w:rPr>
          <w:rFonts w:ascii="Arial" w:hAnsi="Arial" w:cs="Arial"/>
          <w:sz w:val="20"/>
          <w:szCs w:val="20"/>
        </w:rPr>
        <w:t>Sienne, Pont</w:t>
      </w:r>
      <w:r>
        <w:rPr>
          <w:rFonts w:ascii="Arial" w:hAnsi="Arial" w:cs="Arial"/>
          <w:sz w:val="20"/>
          <w:szCs w:val="20"/>
        </w:rPr>
        <w:t>-</w:t>
      </w:r>
      <w:r w:rsidRPr="0084709B">
        <w:rPr>
          <w:rFonts w:ascii="Arial" w:hAnsi="Arial" w:cs="Arial"/>
          <w:sz w:val="20"/>
          <w:szCs w:val="20"/>
        </w:rPr>
        <w:t>Bellanger, Saint</w:t>
      </w:r>
      <w:r>
        <w:rPr>
          <w:rFonts w:ascii="Arial" w:hAnsi="Arial" w:cs="Arial"/>
          <w:sz w:val="20"/>
          <w:szCs w:val="20"/>
        </w:rPr>
        <w:t>-</w:t>
      </w:r>
      <w:r w:rsidRPr="0084709B">
        <w:rPr>
          <w:rFonts w:ascii="Arial" w:hAnsi="Arial" w:cs="Arial"/>
          <w:sz w:val="20"/>
          <w:szCs w:val="20"/>
        </w:rPr>
        <w:t>Aubin</w:t>
      </w:r>
      <w:r>
        <w:rPr>
          <w:rFonts w:ascii="Arial" w:hAnsi="Arial" w:cs="Arial"/>
          <w:sz w:val="20"/>
          <w:szCs w:val="20"/>
        </w:rPr>
        <w:t>-des-Bois, Sainte-</w:t>
      </w:r>
      <w:r w:rsidRPr="0084709B">
        <w:rPr>
          <w:rFonts w:ascii="Arial" w:hAnsi="Arial" w:cs="Arial"/>
          <w:sz w:val="20"/>
          <w:szCs w:val="20"/>
        </w:rPr>
        <w:t>Marie</w:t>
      </w:r>
      <w:r>
        <w:rPr>
          <w:rFonts w:ascii="Arial" w:hAnsi="Arial" w:cs="Arial"/>
          <w:sz w:val="20"/>
          <w:szCs w:val="20"/>
        </w:rPr>
        <w:t>-</w:t>
      </w:r>
      <w:r w:rsidRPr="0084709B">
        <w:rPr>
          <w:rFonts w:ascii="Arial" w:hAnsi="Arial" w:cs="Arial"/>
          <w:sz w:val="20"/>
          <w:szCs w:val="20"/>
        </w:rPr>
        <w:t>Outre</w:t>
      </w:r>
      <w:r>
        <w:rPr>
          <w:rFonts w:ascii="Arial" w:hAnsi="Arial" w:cs="Arial"/>
          <w:sz w:val="20"/>
          <w:szCs w:val="20"/>
        </w:rPr>
        <w:t>-</w:t>
      </w:r>
      <w:r w:rsidRPr="0084709B">
        <w:rPr>
          <w:rFonts w:ascii="Arial" w:hAnsi="Arial" w:cs="Arial"/>
          <w:sz w:val="20"/>
          <w:szCs w:val="20"/>
        </w:rPr>
        <w:t>l'Eau.</w:t>
      </w:r>
    </w:p>
    <w:p w:rsidR="00B9412A" w:rsidRPr="00C74852" w:rsidRDefault="00B9412A" w:rsidP="00B9412A">
      <w:pPr>
        <w:pStyle w:val="Paragraphedeliste"/>
        <w:ind w:left="374"/>
        <w:jc w:val="both"/>
        <w:rPr>
          <w:rFonts w:ascii="Arial" w:hAnsi="Arial" w:cs="Arial"/>
          <w:sz w:val="6"/>
          <w:szCs w:val="6"/>
        </w:rPr>
      </w:pPr>
    </w:p>
    <w:p w:rsidR="00B9412A" w:rsidRPr="0084709B" w:rsidRDefault="00B9412A" w:rsidP="00B9412A">
      <w:pPr>
        <w:pStyle w:val="Paragraphedeliste"/>
        <w:numPr>
          <w:ilvl w:val="0"/>
          <w:numId w:val="12"/>
        </w:numPr>
        <w:jc w:val="both"/>
        <w:rPr>
          <w:rFonts w:ascii="Arial" w:hAnsi="Arial" w:cs="Arial"/>
          <w:sz w:val="20"/>
          <w:szCs w:val="20"/>
        </w:rPr>
      </w:pPr>
      <w:r w:rsidRPr="0084709B">
        <w:rPr>
          <w:rFonts w:ascii="Arial" w:hAnsi="Arial" w:cs="Arial"/>
          <w:b/>
          <w:sz w:val="20"/>
          <w:szCs w:val="20"/>
          <w:u w:val="single"/>
        </w:rPr>
        <w:t>LOT 2</w:t>
      </w:r>
      <w:r w:rsidRPr="0084709B">
        <w:rPr>
          <w:rFonts w:ascii="Arial" w:hAnsi="Arial" w:cs="Arial"/>
          <w:sz w:val="20"/>
          <w:szCs w:val="20"/>
        </w:rPr>
        <w:t xml:space="preserve"> : Chemins concernant la commune de Souleuvre</w:t>
      </w:r>
      <w:r>
        <w:rPr>
          <w:rFonts w:ascii="Arial" w:hAnsi="Arial" w:cs="Arial"/>
          <w:sz w:val="20"/>
          <w:szCs w:val="20"/>
        </w:rPr>
        <w:t>-</w:t>
      </w:r>
      <w:r w:rsidRPr="0084709B">
        <w:rPr>
          <w:rFonts w:ascii="Arial" w:hAnsi="Arial" w:cs="Arial"/>
          <w:sz w:val="20"/>
          <w:szCs w:val="20"/>
        </w:rPr>
        <w:t>en</w:t>
      </w:r>
      <w:r>
        <w:rPr>
          <w:rFonts w:ascii="Arial" w:hAnsi="Arial" w:cs="Arial"/>
          <w:sz w:val="20"/>
          <w:szCs w:val="20"/>
        </w:rPr>
        <w:t>-</w:t>
      </w:r>
      <w:r w:rsidRPr="0084709B">
        <w:rPr>
          <w:rFonts w:ascii="Arial" w:hAnsi="Arial" w:cs="Arial"/>
          <w:sz w:val="20"/>
          <w:szCs w:val="20"/>
        </w:rPr>
        <w:t>Bocage.</w:t>
      </w:r>
    </w:p>
    <w:p w:rsidR="00B9412A" w:rsidRPr="00C74852" w:rsidRDefault="00B9412A" w:rsidP="00B9412A">
      <w:pPr>
        <w:ind w:left="24" w:hanging="10"/>
        <w:jc w:val="both"/>
        <w:rPr>
          <w:rFonts w:ascii="Arial" w:hAnsi="Arial" w:cs="Arial"/>
          <w:sz w:val="6"/>
          <w:szCs w:val="6"/>
        </w:rPr>
      </w:pPr>
    </w:p>
    <w:p w:rsidR="00B9412A" w:rsidRDefault="00B9412A" w:rsidP="001F4E6C">
      <w:pPr>
        <w:pStyle w:val="ParagrapheIndent2"/>
        <w:spacing w:before="60"/>
        <w:ind w:left="20" w:right="20"/>
        <w:jc w:val="both"/>
        <w:rPr>
          <w:rFonts w:ascii="Arial" w:eastAsia="Calibri" w:hAnsi="Arial" w:cs="Arial"/>
          <w:szCs w:val="20"/>
          <w:lang w:val="fr-FR"/>
        </w:rPr>
      </w:pPr>
      <w:r w:rsidRPr="0084709B">
        <w:rPr>
          <w:rFonts w:ascii="Arial" w:eastAsia="Calibri" w:hAnsi="Arial" w:cs="Arial"/>
          <w:szCs w:val="20"/>
          <w:lang w:val="fr-FR"/>
        </w:rPr>
        <w:t xml:space="preserve">La procédure de passation utilisée est : </w:t>
      </w:r>
      <w:r>
        <w:rPr>
          <w:rFonts w:ascii="Arial" w:eastAsia="Calibri" w:hAnsi="Arial" w:cs="Arial"/>
          <w:szCs w:val="20"/>
          <w:lang w:val="fr-FR"/>
        </w:rPr>
        <w:t>l’appel d’offres ouvert</w:t>
      </w:r>
      <w:r w:rsidRPr="0084709B">
        <w:rPr>
          <w:rFonts w:ascii="Arial" w:eastAsia="Calibri" w:hAnsi="Arial" w:cs="Arial"/>
          <w:szCs w:val="20"/>
          <w:lang w:val="fr-FR"/>
        </w:rPr>
        <w:t xml:space="preserve">. Elle est soumise aux dispositions des </w:t>
      </w:r>
      <w:r w:rsidRPr="00BA63BE">
        <w:rPr>
          <w:rFonts w:ascii="Arial" w:eastAsia="Calibri" w:hAnsi="Arial" w:cs="Arial"/>
          <w:szCs w:val="20"/>
          <w:lang w:val="fr-FR"/>
        </w:rPr>
        <w:t>articles L. 2124-2, R. 2124-2 1° et R. 2161-2 à R. 2161-5 du Code de la commande publique.</w:t>
      </w:r>
    </w:p>
    <w:p w:rsidR="00B9412A" w:rsidRPr="00C74852" w:rsidRDefault="00B9412A" w:rsidP="00B9412A">
      <w:pPr>
        <w:pStyle w:val="ParagrapheIndent2"/>
        <w:ind w:left="20" w:right="20"/>
        <w:jc w:val="both"/>
        <w:rPr>
          <w:rFonts w:ascii="Arial" w:eastAsia="Calibri" w:hAnsi="Arial" w:cs="Arial"/>
          <w:sz w:val="6"/>
          <w:szCs w:val="6"/>
          <w:lang w:val="fr-FR"/>
        </w:rPr>
      </w:pPr>
    </w:p>
    <w:p w:rsidR="00B9412A" w:rsidRPr="0084709B" w:rsidRDefault="00B9412A" w:rsidP="00B9412A">
      <w:pPr>
        <w:pStyle w:val="ParagrapheIndent2"/>
        <w:ind w:left="20" w:right="20"/>
        <w:jc w:val="both"/>
        <w:rPr>
          <w:rFonts w:ascii="Arial" w:eastAsia="Calibri" w:hAnsi="Arial" w:cs="Arial"/>
          <w:szCs w:val="20"/>
          <w:lang w:val="fr-FR"/>
        </w:rPr>
      </w:pPr>
      <w:r w:rsidRPr="0084709B">
        <w:rPr>
          <w:rFonts w:ascii="Arial" w:eastAsia="Calibri" w:hAnsi="Arial" w:cs="Arial"/>
          <w:szCs w:val="20"/>
          <w:lang w:val="fr-FR"/>
        </w:rPr>
        <w:t>Le marché est conclu pour une durée globale de 36 mois.</w:t>
      </w:r>
    </w:p>
    <w:p w:rsidR="00B9412A" w:rsidRPr="00C74852" w:rsidRDefault="00B9412A" w:rsidP="00B9412A">
      <w:pPr>
        <w:rPr>
          <w:rFonts w:ascii="Arial" w:hAnsi="Arial" w:cs="Arial"/>
          <w:sz w:val="6"/>
          <w:szCs w:val="6"/>
        </w:rPr>
      </w:pPr>
    </w:p>
    <w:p w:rsidR="00B9412A" w:rsidRPr="0084709B" w:rsidRDefault="00B9412A" w:rsidP="00B9412A">
      <w:pPr>
        <w:ind w:left="24" w:hanging="10"/>
        <w:jc w:val="both"/>
        <w:rPr>
          <w:rFonts w:ascii="Arial" w:hAnsi="Arial" w:cs="Arial"/>
          <w:sz w:val="20"/>
          <w:szCs w:val="20"/>
        </w:rPr>
      </w:pPr>
      <w:r w:rsidRPr="0084709B">
        <w:rPr>
          <w:rFonts w:ascii="Arial" w:hAnsi="Arial" w:cs="Arial"/>
          <w:sz w:val="20"/>
          <w:szCs w:val="20"/>
        </w:rPr>
        <w:t>Les lots définis ci-dessus seront réservés aux structures d’insertion par l’activité économique ou à des structures équivalentes, lorsque plus de 50% des travailleurs concernés sont des travailleurs défavorisés.</w:t>
      </w:r>
    </w:p>
    <w:p w:rsidR="00B9412A" w:rsidRPr="00C74852" w:rsidRDefault="00B9412A" w:rsidP="00B9412A">
      <w:pPr>
        <w:ind w:left="24" w:hanging="10"/>
        <w:jc w:val="both"/>
        <w:rPr>
          <w:rFonts w:ascii="Arial" w:hAnsi="Arial" w:cs="Arial"/>
          <w:sz w:val="6"/>
          <w:szCs w:val="6"/>
        </w:rPr>
      </w:pPr>
    </w:p>
    <w:p w:rsidR="00B9412A" w:rsidRPr="0084709B" w:rsidRDefault="00B9412A" w:rsidP="00B9412A">
      <w:pPr>
        <w:ind w:left="24" w:hanging="10"/>
        <w:jc w:val="both"/>
        <w:rPr>
          <w:rFonts w:ascii="Arial" w:hAnsi="Arial" w:cs="Arial"/>
          <w:sz w:val="20"/>
          <w:szCs w:val="20"/>
        </w:rPr>
      </w:pPr>
      <w:r w:rsidRPr="0084709B">
        <w:rPr>
          <w:rFonts w:ascii="Arial" w:hAnsi="Arial" w:cs="Arial"/>
          <w:sz w:val="20"/>
          <w:szCs w:val="20"/>
        </w:rPr>
        <w:t>Les critères retenus pour le jugement des offres sont pondérés de la manière suivante pour tous les lots :</w:t>
      </w:r>
    </w:p>
    <w:p w:rsidR="00B9412A" w:rsidRPr="00C74852" w:rsidRDefault="00B9412A" w:rsidP="00B9412A">
      <w:pPr>
        <w:jc w:val="both"/>
        <w:rPr>
          <w:rFonts w:ascii="Arial" w:hAnsi="Arial" w:cs="Arial"/>
          <w:color w:val="FF0000"/>
          <w:sz w:val="6"/>
          <w:szCs w:val="6"/>
        </w:rPr>
      </w:pPr>
    </w:p>
    <w:tbl>
      <w:tblPr>
        <w:tblW w:w="0" w:type="auto"/>
        <w:tblInd w:w="20" w:type="dxa"/>
        <w:tblCellMar>
          <w:left w:w="0" w:type="dxa"/>
          <w:right w:w="0" w:type="dxa"/>
        </w:tblCellMar>
        <w:tblLook w:val="04A0" w:firstRow="1" w:lastRow="0" w:firstColumn="1" w:lastColumn="0" w:noHBand="0" w:noVBand="1"/>
      </w:tblPr>
      <w:tblGrid>
        <w:gridCol w:w="7297"/>
        <w:gridCol w:w="1733"/>
      </w:tblGrid>
      <w:tr w:rsidR="00B9412A" w:rsidRPr="0084709B" w:rsidTr="001A1462">
        <w:trPr>
          <w:trHeight w:val="340"/>
        </w:trPr>
        <w:tc>
          <w:tcPr>
            <w:tcW w:w="7800" w:type="dxa"/>
            <w:tcBorders>
              <w:top w:val="single" w:sz="8" w:space="0" w:color="000000"/>
              <w:left w:val="single" w:sz="8" w:space="0" w:color="000000"/>
              <w:bottom w:val="nil"/>
              <w:right w:val="single" w:sz="8" w:space="0" w:color="000000"/>
            </w:tcBorders>
            <w:shd w:val="clear" w:color="auto" w:fill="CCCCCC"/>
            <w:hideMark/>
          </w:tcPr>
          <w:p w:rsidR="00B9412A" w:rsidRPr="00072E97" w:rsidRDefault="00B9412A" w:rsidP="001A1462">
            <w:pPr>
              <w:spacing w:before="80" w:after="20"/>
              <w:jc w:val="center"/>
              <w:rPr>
                <w:rFonts w:ascii="Arial" w:hAnsi="Arial" w:cs="Arial"/>
                <w:sz w:val="20"/>
                <w:szCs w:val="20"/>
              </w:rPr>
            </w:pPr>
            <w:r w:rsidRPr="00072E97">
              <w:rPr>
                <w:rFonts w:ascii="Arial" w:hAnsi="Arial" w:cs="Arial"/>
                <w:sz w:val="20"/>
                <w:szCs w:val="20"/>
              </w:rPr>
              <w:t>Critères</w:t>
            </w:r>
          </w:p>
        </w:tc>
        <w:tc>
          <w:tcPr>
            <w:tcW w:w="1800" w:type="dxa"/>
            <w:tcBorders>
              <w:top w:val="single" w:sz="8" w:space="0" w:color="000000"/>
              <w:left w:val="nil"/>
              <w:bottom w:val="nil"/>
              <w:right w:val="single" w:sz="8" w:space="0" w:color="000000"/>
            </w:tcBorders>
            <w:shd w:val="clear" w:color="auto" w:fill="CCCCCC"/>
            <w:hideMark/>
          </w:tcPr>
          <w:p w:rsidR="00B9412A" w:rsidRPr="00072E97" w:rsidRDefault="00B9412A" w:rsidP="001A1462">
            <w:pPr>
              <w:spacing w:before="80" w:after="20"/>
              <w:jc w:val="center"/>
              <w:rPr>
                <w:rFonts w:ascii="Arial" w:hAnsi="Arial" w:cs="Arial"/>
                <w:sz w:val="20"/>
                <w:szCs w:val="20"/>
              </w:rPr>
            </w:pPr>
            <w:r w:rsidRPr="00072E97">
              <w:rPr>
                <w:rFonts w:ascii="Arial" w:hAnsi="Arial" w:cs="Arial"/>
                <w:sz w:val="20"/>
                <w:szCs w:val="20"/>
              </w:rPr>
              <w:t>Pondération</w:t>
            </w:r>
          </w:p>
        </w:tc>
      </w:tr>
      <w:tr w:rsidR="00B9412A" w:rsidRPr="0084709B" w:rsidTr="00733028">
        <w:trPr>
          <w:trHeight w:val="257"/>
        </w:trPr>
        <w:tc>
          <w:tcPr>
            <w:tcW w:w="7800" w:type="dxa"/>
            <w:tcBorders>
              <w:top w:val="single" w:sz="8" w:space="0" w:color="000000"/>
              <w:left w:val="single" w:sz="8" w:space="0" w:color="000000"/>
              <w:bottom w:val="single" w:sz="8" w:space="0" w:color="000000"/>
              <w:right w:val="single" w:sz="8" w:space="0" w:color="000000"/>
            </w:tcBorders>
            <w:vAlign w:val="center"/>
            <w:hideMark/>
          </w:tcPr>
          <w:p w:rsidR="00B9412A" w:rsidRPr="00072E97" w:rsidRDefault="00B9412A" w:rsidP="00EF3FA5">
            <w:pPr>
              <w:ind w:left="80" w:right="80"/>
              <w:jc w:val="both"/>
              <w:rPr>
                <w:rFonts w:ascii="Arial" w:hAnsi="Arial" w:cs="Arial"/>
                <w:sz w:val="20"/>
                <w:szCs w:val="20"/>
              </w:rPr>
            </w:pPr>
            <w:r w:rsidRPr="00072E97">
              <w:rPr>
                <w:rFonts w:ascii="Arial" w:hAnsi="Arial" w:cs="Arial"/>
                <w:sz w:val="20"/>
                <w:szCs w:val="20"/>
              </w:rPr>
              <w:t xml:space="preserve">1-Prix des prestations au regard du </w:t>
            </w:r>
            <w:r w:rsidR="00EF3FA5">
              <w:rPr>
                <w:rFonts w:ascii="Arial" w:hAnsi="Arial" w:cs="Arial"/>
                <w:sz w:val="20"/>
                <w:szCs w:val="20"/>
              </w:rPr>
              <w:t>DPGF (Décomposition du Prix Global et Forfaitaire)</w:t>
            </w:r>
          </w:p>
        </w:tc>
        <w:tc>
          <w:tcPr>
            <w:tcW w:w="1800" w:type="dxa"/>
            <w:tcBorders>
              <w:top w:val="single" w:sz="8" w:space="0" w:color="000000"/>
              <w:left w:val="nil"/>
              <w:bottom w:val="single" w:sz="8" w:space="0" w:color="000000"/>
              <w:right w:val="single" w:sz="8" w:space="0" w:color="000000"/>
            </w:tcBorders>
            <w:vAlign w:val="center"/>
            <w:hideMark/>
          </w:tcPr>
          <w:p w:rsidR="00B9412A" w:rsidRPr="00072E97" w:rsidRDefault="00B9412A" w:rsidP="00733028">
            <w:pPr>
              <w:ind w:left="80" w:right="80"/>
              <w:rPr>
                <w:rFonts w:ascii="Arial" w:hAnsi="Arial" w:cs="Arial"/>
                <w:sz w:val="20"/>
                <w:szCs w:val="20"/>
              </w:rPr>
            </w:pPr>
            <w:r w:rsidRPr="00072E97">
              <w:rPr>
                <w:rFonts w:ascii="Arial" w:hAnsi="Arial" w:cs="Arial"/>
                <w:sz w:val="20"/>
                <w:szCs w:val="20"/>
              </w:rPr>
              <w:t>40.0</w:t>
            </w:r>
          </w:p>
        </w:tc>
      </w:tr>
      <w:tr w:rsidR="00B9412A" w:rsidRPr="0084709B" w:rsidTr="00733028">
        <w:trPr>
          <w:trHeight w:val="133"/>
        </w:trPr>
        <w:tc>
          <w:tcPr>
            <w:tcW w:w="7800" w:type="dxa"/>
            <w:tcBorders>
              <w:top w:val="nil"/>
              <w:left w:val="single" w:sz="8" w:space="0" w:color="000000"/>
              <w:bottom w:val="single" w:sz="8" w:space="0" w:color="000000"/>
              <w:right w:val="single" w:sz="8" w:space="0" w:color="000000"/>
            </w:tcBorders>
            <w:vAlign w:val="center"/>
            <w:hideMark/>
          </w:tcPr>
          <w:p w:rsidR="00B9412A" w:rsidRPr="00072E97" w:rsidRDefault="00B9412A" w:rsidP="00733028">
            <w:pPr>
              <w:ind w:left="80" w:right="80"/>
              <w:rPr>
                <w:rFonts w:ascii="Arial" w:hAnsi="Arial" w:cs="Arial"/>
                <w:sz w:val="20"/>
                <w:szCs w:val="20"/>
              </w:rPr>
            </w:pPr>
            <w:r w:rsidRPr="00072E97">
              <w:rPr>
                <w:rFonts w:ascii="Arial" w:hAnsi="Arial" w:cs="Arial"/>
                <w:sz w:val="20"/>
                <w:szCs w:val="20"/>
              </w:rPr>
              <w:t>2-Valeur technique</w:t>
            </w:r>
          </w:p>
        </w:tc>
        <w:tc>
          <w:tcPr>
            <w:tcW w:w="1800" w:type="dxa"/>
            <w:tcBorders>
              <w:top w:val="nil"/>
              <w:left w:val="nil"/>
              <w:bottom w:val="single" w:sz="8" w:space="0" w:color="000000"/>
              <w:right w:val="single" w:sz="8" w:space="0" w:color="000000"/>
            </w:tcBorders>
            <w:hideMark/>
          </w:tcPr>
          <w:p w:rsidR="00B9412A" w:rsidRPr="00072E97" w:rsidRDefault="00B9412A" w:rsidP="00733028">
            <w:pPr>
              <w:ind w:left="80" w:right="80"/>
              <w:rPr>
                <w:rFonts w:ascii="Arial" w:hAnsi="Arial" w:cs="Arial"/>
                <w:sz w:val="20"/>
                <w:szCs w:val="20"/>
              </w:rPr>
            </w:pPr>
            <w:r w:rsidRPr="00072E97">
              <w:rPr>
                <w:rFonts w:ascii="Arial" w:hAnsi="Arial" w:cs="Arial"/>
                <w:sz w:val="20"/>
                <w:szCs w:val="20"/>
              </w:rPr>
              <w:t>30.0</w:t>
            </w:r>
          </w:p>
        </w:tc>
      </w:tr>
      <w:tr w:rsidR="00B9412A" w:rsidRPr="0084709B" w:rsidTr="00733028">
        <w:trPr>
          <w:trHeight w:val="836"/>
        </w:trPr>
        <w:tc>
          <w:tcPr>
            <w:tcW w:w="7800" w:type="dxa"/>
            <w:tcBorders>
              <w:top w:val="nil"/>
              <w:left w:val="single" w:sz="8" w:space="0" w:color="000000"/>
              <w:bottom w:val="single" w:sz="8" w:space="0" w:color="000000"/>
              <w:right w:val="single" w:sz="8" w:space="0" w:color="000000"/>
            </w:tcBorders>
            <w:vAlign w:val="center"/>
            <w:hideMark/>
          </w:tcPr>
          <w:p w:rsidR="00B9412A" w:rsidRPr="00072E97" w:rsidRDefault="00B9412A" w:rsidP="00733028">
            <w:pPr>
              <w:spacing w:line="232" w:lineRule="exact"/>
              <w:ind w:left="680" w:right="80"/>
              <w:jc w:val="both"/>
              <w:rPr>
                <w:rFonts w:ascii="Arial" w:hAnsi="Arial" w:cs="Arial"/>
                <w:i/>
                <w:iCs/>
                <w:sz w:val="20"/>
                <w:szCs w:val="20"/>
              </w:rPr>
            </w:pPr>
            <w:r w:rsidRPr="00072E97">
              <w:rPr>
                <w:rFonts w:ascii="Arial" w:hAnsi="Arial" w:cs="Arial"/>
                <w:i/>
                <w:iCs/>
                <w:sz w:val="20"/>
                <w:szCs w:val="20"/>
              </w:rPr>
              <w:t>2.1-Les moyens humains du candidat en précisant la composition de(s) l’équipe(s) affectée(s) au présent marché, les compétences, les expériences, les qualifications, les modalités d’affectation des agents et leur organisation.</w:t>
            </w:r>
          </w:p>
        </w:tc>
        <w:tc>
          <w:tcPr>
            <w:tcW w:w="1800" w:type="dxa"/>
            <w:tcBorders>
              <w:top w:val="nil"/>
              <w:left w:val="nil"/>
              <w:bottom w:val="single" w:sz="8" w:space="0" w:color="000000"/>
              <w:right w:val="single" w:sz="8" w:space="0" w:color="000000"/>
            </w:tcBorders>
            <w:hideMark/>
          </w:tcPr>
          <w:p w:rsidR="00B9412A" w:rsidRPr="00072E97" w:rsidRDefault="00B9412A" w:rsidP="001A1462">
            <w:pPr>
              <w:spacing w:before="60" w:after="60"/>
              <w:ind w:left="80" w:right="80"/>
              <w:jc w:val="right"/>
              <w:rPr>
                <w:rFonts w:ascii="Arial" w:hAnsi="Arial" w:cs="Arial"/>
                <w:i/>
                <w:iCs/>
                <w:sz w:val="20"/>
                <w:szCs w:val="20"/>
              </w:rPr>
            </w:pPr>
            <w:r w:rsidRPr="00072E97">
              <w:rPr>
                <w:rFonts w:ascii="Arial" w:hAnsi="Arial" w:cs="Arial"/>
                <w:i/>
                <w:iCs/>
                <w:sz w:val="20"/>
                <w:szCs w:val="20"/>
              </w:rPr>
              <w:t>10.0</w:t>
            </w:r>
          </w:p>
        </w:tc>
      </w:tr>
      <w:tr w:rsidR="00B9412A" w:rsidRPr="0084709B" w:rsidTr="001A1462">
        <w:trPr>
          <w:trHeight w:val="400"/>
        </w:trPr>
        <w:tc>
          <w:tcPr>
            <w:tcW w:w="7800" w:type="dxa"/>
            <w:tcBorders>
              <w:top w:val="nil"/>
              <w:left w:val="single" w:sz="8" w:space="0" w:color="000000"/>
              <w:bottom w:val="single" w:sz="8" w:space="0" w:color="000000"/>
              <w:right w:val="single" w:sz="8" w:space="0" w:color="000000"/>
            </w:tcBorders>
            <w:vAlign w:val="center"/>
            <w:hideMark/>
          </w:tcPr>
          <w:p w:rsidR="00B9412A" w:rsidRPr="00072E97" w:rsidRDefault="00B9412A" w:rsidP="00733028">
            <w:pPr>
              <w:spacing w:line="232" w:lineRule="exact"/>
              <w:ind w:left="680" w:right="80"/>
              <w:jc w:val="both"/>
              <w:rPr>
                <w:rFonts w:ascii="Arial" w:hAnsi="Arial" w:cs="Arial"/>
                <w:i/>
                <w:iCs/>
                <w:sz w:val="20"/>
                <w:szCs w:val="20"/>
              </w:rPr>
            </w:pPr>
            <w:r w:rsidRPr="00072E97">
              <w:rPr>
                <w:rFonts w:ascii="Arial" w:hAnsi="Arial" w:cs="Arial"/>
                <w:i/>
                <w:iCs/>
                <w:sz w:val="20"/>
                <w:szCs w:val="20"/>
              </w:rPr>
              <w:t>2.2-Les</w:t>
            </w:r>
            <w:r w:rsidR="00EF3FA5">
              <w:rPr>
                <w:rFonts w:ascii="Arial" w:hAnsi="Arial" w:cs="Arial"/>
                <w:i/>
                <w:iCs/>
                <w:sz w:val="20"/>
                <w:szCs w:val="20"/>
              </w:rPr>
              <w:t xml:space="preserve"> moyens</w:t>
            </w:r>
            <w:r w:rsidRPr="00072E97">
              <w:rPr>
                <w:rFonts w:ascii="Arial" w:hAnsi="Arial" w:cs="Arial"/>
                <w:i/>
                <w:iCs/>
                <w:sz w:val="20"/>
                <w:szCs w:val="20"/>
              </w:rPr>
              <w:t xml:space="preserve"> matériels mis à disposition et la méthodologie d’exécution des prestations.</w:t>
            </w:r>
          </w:p>
        </w:tc>
        <w:tc>
          <w:tcPr>
            <w:tcW w:w="1800" w:type="dxa"/>
            <w:tcBorders>
              <w:top w:val="nil"/>
              <w:left w:val="nil"/>
              <w:bottom w:val="single" w:sz="8" w:space="0" w:color="000000"/>
              <w:right w:val="single" w:sz="8" w:space="0" w:color="000000"/>
            </w:tcBorders>
            <w:hideMark/>
          </w:tcPr>
          <w:p w:rsidR="00B9412A" w:rsidRPr="00072E97" w:rsidRDefault="00B9412A" w:rsidP="001A1462">
            <w:pPr>
              <w:spacing w:before="60" w:after="60"/>
              <w:ind w:left="80" w:right="80"/>
              <w:jc w:val="right"/>
              <w:rPr>
                <w:rFonts w:ascii="Arial" w:hAnsi="Arial" w:cs="Arial"/>
                <w:i/>
                <w:iCs/>
                <w:sz w:val="20"/>
                <w:szCs w:val="20"/>
              </w:rPr>
            </w:pPr>
            <w:r w:rsidRPr="00072E97">
              <w:rPr>
                <w:rFonts w:ascii="Arial" w:hAnsi="Arial" w:cs="Arial"/>
                <w:i/>
                <w:iCs/>
                <w:sz w:val="20"/>
                <w:szCs w:val="20"/>
              </w:rPr>
              <w:t>10.0</w:t>
            </w:r>
          </w:p>
        </w:tc>
      </w:tr>
      <w:tr w:rsidR="00B9412A" w:rsidRPr="0084709B" w:rsidTr="001A1462">
        <w:trPr>
          <w:trHeight w:val="400"/>
        </w:trPr>
        <w:tc>
          <w:tcPr>
            <w:tcW w:w="7800" w:type="dxa"/>
            <w:tcBorders>
              <w:top w:val="nil"/>
              <w:left w:val="single" w:sz="8" w:space="0" w:color="000000"/>
              <w:bottom w:val="single" w:sz="8" w:space="0" w:color="000000"/>
              <w:right w:val="single" w:sz="8" w:space="0" w:color="000000"/>
            </w:tcBorders>
            <w:vAlign w:val="center"/>
            <w:hideMark/>
          </w:tcPr>
          <w:p w:rsidR="00B9412A" w:rsidRPr="00072E97" w:rsidRDefault="00B9412A" w:rsidP="00733028">
            <w:pPr>
              <w:spacing w:line="232" w:lineRule="exact"/>
              <w:ind w:left="680" w:right="80"/>
              <w:jc w:val="both"/>
              <w:rPr>
                <w:rFonts w:ascii="Arial" w:hAnsi="Arial" w:cs="Arial"/>
                <w:i/>
                <w:iCs/>
                <w:sz w:val="20"/>
                <w:szCs w:val="20"/>
              </w:rPr>
            </w:pPr>
            <w:r w:rsidRPr="00072E97">
              <w:rPr>
                <w:rFonts w:ascii="Arial" w:hAnsi="Arial" w:cs="Arial"/>
                <w:i/>
                <w:iCs/>
                <w:sz w:val="20"/>
                <w:szCs w:val="20"/>
              </w:rPr>
              <w:t>2.3-Les éléments techniques en faveur de la protection de l’environnement utilisés (outillages/matériels utilisés, gestion et traitement des déchets issus du chantier, usage de véhicule à faible émission de CO2, usage de produits non polluants…).</w:t>
            </w:r>
          </w:p>
        </w:tc>
        <w:tc>
          <w:tcPr>
            <w:tcW w:w="1800" w:type="dxa"/>
            <w:tcBorders>
              <w:top w:val="nil"/>
              <w:left w:val="nil"/>
              <w:bottom w:val="single" w:sz="8" w:space="0" w:color="000000"/>
              <w:right w:val="single" w:sz="8" w:space="0" w:color="000000"/>
            </w:tcBorders>
            <w:hideMark/>
          </w:tcPr>
          <w:p w:rsidR="00B9412A" w:rsidRPr="00072E97" w:rsidRDefault="00B9412A" w:rsidP="001A1462">
            <w:pPr>
              <w:spacing w:before="60" w:after="60"/>
              <w:ind w:left="80" w:right="80"/>
              <w:jc w:val="right"/>
              <w:rPr>
                <w:rFonts w:ascii="Arial" w:hAnsi="Arial" w:cs="Arial"/>
                <w:i/>
                <w:iCs/>
                <w:sz w:val="20"/>
                <w:szCs w:val="20"/>
              </w:rPr>
            </w:pPr>
            <w:r w:rsidRPr="00072E97">
              <w:rPr>
                <w:rFonts w:ascii="Arial" w:hAnsi="Arial" w:cs="Arial"/>
                <w:i/>
                <w:iCs/>
                <w:sz w:val="20"/>
                <w:szCs w:val="20"/>
              </w:rPr>
              <w:t>10.0</w:t>
            </w:r>
          </w:p>
        </w:tc>
      </w:tr>
      <w:tr w:rsidR="00B9412A" w:rsidRPr="0084709B" w:rsidTr="00733028">
        <w:trPr>
          <w:trHeight w:val="58"/>
        </w:trPr>
        <w:tc>
          <w:tcPr>
            <w:tcW w:w="7800" w:type="dxa"/>
            <w:tcBorders>
              <w:top w:val="nil"/>
              <w:left w:val="single" w:sz="8" w:space="0" w:color="000000"/>
              <w:bottom w:val="single" w:sz="8" w:space="0" w:color="000000"/>
              <w:right w:val="single" w:sz="8" w:space="0" w:color="000000"/>
            </w:tcBorders>
            <w:vAlign w:val="center"/>
            <w:hideMark/>
          </w:tcPr>
          <w:p w:rsidR="00B9412A" w:rsidRPr="00072E97" w:rsidRDefault="00B9412A" w:rsidP="00733028">
            <w:pPr>
              <w:ind w:left="80" w:right="80"/>
              <w:rPr>
                <w:rFonts w:ascii="Arial" w:hAnsi="Arial" w:cs="Arial"/>
                <w:sz w:val="20"/>
                <w:szCs w:val="20"/>
              </w:rPr>
            </w:pPr>
            <w:r w:rsidRPr="00072E97">
              <w:rPr>
                <w:rFonts w:ascii="Arial" w:hAnsi="Arial" w:cs="Arial"/>
                <w:sz w:val="20"/>
                <w:szCs w:val="20"/>
              </w:rPr>
              <w:t>3-Délai d'exécution des prestations</w:t>
            </w:r>
          </w:p>
        </w:tc>
        <w:tc>
          <w:tcPr>
            <w:tcW w:w="1800" w:type="dxa"/>
            <w:tcBorders>
              <w:top w:val="nil"/>
              <w:left w:val="nil"/>
              <w:bottom w:val="single" w:sz="8" w:space="0" w:color="000000"/>
              <w:right w:val="single" w:sz="8" w:space="0" w:color="000000"/>
            </w:tcBorders>
            <w:hideMark/>
          </w:tcPr>
          <w:p w:rsidR="00B9412A" w:rsidRPr="00072E97" w:rsidRDefault="00B9412A" w:rsidP="00733028">
            <w:pPr>
              <w:ind w:left="80" w:right="80"/>
              <w:rPr>
                <w:rFonts w:ascii="Arial" w:hAnsi="Arial" w:cs="Arial"/>
                <w:sz w:val="20"/>
                <w:szCs w:val="20"/>
              </w:rPr>
            </w:pPr>
            <w:r w:rsidRPr="00072E97">
              <w:rPr>
                <w:rFonts w:ascii="Arial" w:hAnsi="Arial" w:cs="Arial"/>
                <w:sz w:val="20"/>
                <w:szCs w:val="20"/>
              </w:rPr>
              <w:t>30.0</w:t>
            </w:r>
          </w:p>
        </w:tc>
      </w:tr>
    </w:tbl>
    <w:p w:rsidR="00B9412A" w:rsidRPr="00880517" w:rsidRDefault="00B9412A" w:rsidP="00B9412A">
      <w:pPr>
        <w:ind w:left="24" w:hanging="10"/>
        <w:jc w:val="both"/>
        <w:rPr>
          <w:rFonts w:ascii="Arial" w:hAnsi="Arial" w:cs="Arial"/>
          <w:color w:val="FF0000"/>
          <w:sz w:val="12"/>
          <w:szCs w:val="12"/>
        </w:rPr>
      </w:pPr>
    </w:p>
    <w:p w:rsidR="00B9412A" w:rsidRPr="00015BEA" w:rsidRDefault="00B9412A" w:rsidP="001F4E6C">
      <w:pPr>
        <w:ind w:left="24" w:hanging="10"/>
        <w:jc w:val="both"/>
        <w:rPr>
          <w:rFonts w:ascii="Arial" w:hAnsi="Arial" w:cs="Arial"/>
          <w:b/>
          <w:sz w:val="20"/>
          <w:szCs w:val="20"/>
        </w:rPr>
      </w:pPr>
      <w:r w:rsidRPr="00015BEA">
        <w:rPr>
          <w:rFonts w:ascii="Arial" w:hAnsi="Arial" w:cs="Arial"/>
          <w:b/>
          <w:sz w:val="20"/>
          <w:szCs w:val="20"/>
        </w:rPr>
        <w:t xml:space="preserve">Suivant l’avis favorable du Bureau communautaire réuni le 7 février 2022, </w:t>
      </w:r>
      <w:r>
        <w:rPr>
          <w:rFonts w:ascii="Arial" w:hAnsi="Arial" w:cs="Arial"/>
          <w:b/>
          <w:sz w:val="20"/>
          <w:szCs w:val="20"/>
        </w:rPr>
        <w:t>i</w:t>
      </w:r>
      <w:r w:rsidRPr="00015BEA">
        <w:rPr>
          <w:rFonts w:ascii="Arial" w:hAnsi="Arial" w:cs="Arial"/>
          <w:b/>
          <w:sz w:val="20"/>
          <w:szCs w:val="20"/>
        </w:rPr>
        <w:t>l est proposé</w:t>
      </w:r>
      <w:r>
        <w:rPr>
          <w:rFonts w:ascii="Arial" w:hAnsi="Arial" w:cs="Arial"/>
          <w:b/>
          <w:sz w:val="20"/>
          <w:szCs w:val="20"/>
        </w:rPr>
        <w:t xml:space="preserve"> au Conseil communautaire</w:t>
      </w:r>
      <w:r w:rsidRPr="00015BEA">
        <w:rPr>
          <w:rFonts w:ascii="Arial" w:hAnsi="Arial" w:cs="Arial"/>
          <w:b/>
          <w:sz w:val="20"/>
          <w:szCs w:val="20"/>
        </w:rPr>
        <w:t xml:space="preserve"> d’autoriser Monsieur le Président, ou son représentant, à lancer la procédure d’appel d’offres et à signer le marché à venir ainsi que les pièces s'y afférent.</w:t>
      </w:r>
    </w:p>
    <w:p w:rsidR="004F52C3" w:rsidRPr="001F4E6C" w:rsidRDefault="004F52C3" w:rsidP="001B0BDC">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1F4E6C">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1F4E6C" w:rsidRPr="003346E0" w:rsidRDefault="001F4E6C" w:rsidP="001F4E6C">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1F4E6C" w:rsidTr="00FF4A3B">
        <w:tc>
          <w:tcPr>
            <w:tcW w:w="9210" w:type="dxa"/>
            <w:gridSpan w:val="6"/>
          </w:tcPr>
          <w:p w:rsidR="001F4E6C" w:rsidRDefault="001F4E6C" w:rsidP="00FF4A3B">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1F4E6C" w:rsidRPr="003346E0" w:rsidTr="00FF4A3B">
        <w:tc>
          <w:tcPr>
            <w:tcW w:w="9210" w:type="dxa"/>
            <w:gridSpan w:val="6"/>
          </w:tcPr>
          <w:p w:rsidR="001F4E6C" w:rsidRPr="003346E0" w:rsidRDefault="001F4E6C" w:rsidP="00FF4A3B">
            <w:pPr>
              <w:jc w:val="both"/>
              <w:rPr>
                <w:rFonts w:ascii="Arial" w:hAnsi="Arial" w:cs="Arial"/>
                <w:sz w:val="12"/>
                <w:szCs w:val="12"/>
              </w:rPr>
            </w:pPr>
          </w:p>
        </w:tc>
      </w:tr>
      <w:tr w:rsidR="001F4E6C" w:rsidTr="00FF4A3B">
        <w:tc>
          <w:tcPr>
            <w:tcW w:w="1535" w:type="dxa"/>
          </w:tcPr>
          <w:p w:rsidR="001F4E6C" w:rsidRDefault="001F4E6C" w:rsidP="00FF4A3B">
            <w:pPr>
              <w:jc w:val="center"/>
              <w:rPr>
                <w:rFonts w:ascii="Arial" w:hAnsi="Arial" w:cs="Arial"/>
                <w:sz w:val="20"/>
                <w:szCs w:val="20"/>
              </w:rPr>
            </w:pPr>
            <w:r>
              <w:rPr>
                <w:rFonts w:ascii="Arial" w:hAnsi="Arial" w:cs="Arial"/>
                <w:sz w:val="20"/>
                <w:szCs w:val="20"/>
              </w:rPr>
              <w:t>Pour :</w:t>
            </w:r>
          </w:p>
        </w:tc>
        <w:tc>
          <w:tcPr>
            <w:tcW w:w="1535" w:type="dxa"/>
          </w:tcPr>
          <w:p w:rsidR="001F4E6C" w:rsidRPr="009719AB" w:rsidRDefault="001F4E6C" w:rsidP="00FF4A3B">
            <w:pPr>
              <w:jc w:val="center"/>
              <w:rPr>
                <w:rFonts w:ascii="Arial" w:hAnsi="Arial" w:cs="Arial"/>
                <w:b/>
                <w:sz w:val="20"/>
                <w:szCs w:val="20"/>
              </w:rPr>
            </w:pPr>
            <w:r>
              <w:rPr>
                <w:rFonts w:ascii="Arial" w:hAnsi="Arial" w:cs="Arial"/>
                <w:b/>
                <w:sz w:val="20"/>
                <w:szCs w:val="20"/>
              </w:rPr>
              <w:t>55</w:t>
            </w:r>
          </w:p>
        </w:tc>
        <w:tc>
          <w:tcPr>
            <w:tcW w:w="1535" w:type="dxa"/>
          </w:tcPr>
          <w:p w:rsidR="001F4E6C" w:rsidRDefault="001F4E6C" w:rsidP="00FF4A3B">
            <w:pPr>
              <w:jc w:val="center"/>
              <w:rPr>
                <w:rFonts w:ascii="Arial" w:hAnsi="Arial" w:cs="Arial"/>
                <w:sz w:val="20"/>
                <w:szCs w:val="20"/>
              </w:rPr>
            </w:pPr>
            <w:r>
              <w:rPr>
                <w:rFonts w:ascii="Arial" w:hAnsi="Arial" w:cs="Arial"/>
                <w:sz w:val="20"/>
                <w:szCs w:val="20"/>
              </w:rPr>
              <w:t>Contre :</w:t>
            </w:r>
          </w:p>
        </w:tc>
        <w:tc>
          <w:tcPr>
            <w:tcW w:w="1535" w:type="dxa"/>
          </w:tcPr>
          <w:p w:rsidR="001F4E6C" w:rsidRPr="009719AB" w:rsidRDefault="001F4E6C" w:rsidP="00FF4A3B">
            <w:pPr>
              <w:jc w:val="center"/>
              <w:rPr>
                <w:rFonts w:ascii="Arial" w:hAnsi="Arial" w:cs="Arial"/>
                <w:b/>
                <w:sz w:val="20"/>
                <w:szCs w:val="20"/>
              </w:rPr>
            </w:pPr>
            <w:r>
              <w:rPr>
                <w:rFonts w:ascii="Arial" w:hAnsi="Arial" w:cs="Arial"/>
                <w:b/>
                <w:sz w:val="20"/>
                <w:szCs w:val="20"/>
              </w:rPr>
              <w:t>0</w:t>
            </w:r>
          </w:p>
        </w:tc>
        <w:tc>
          <w:tcPr>
            <w:tcW w:w="1535" w:type="dxa"/>
          </w:tcPr>
          <w:p w:rsidR="001F4E6C" w:rsidRDefault="001F4E6C" w:rsidP="00FF4A3B">
            <w:pPr>
              <w:jc w:val="center"/>
              <w:rPr>
                <w:rFonts w:ascii="Arial" w:hAnsi="Arial" w:cs="Arial"/>
                <w:sz w:val="20"/>
                <w:szCs w:val="20"/>
              </w:rPr>
            </w:pPr>
            <w:r>
              <w:rPr>
                <w:rFonts w:ascii="Arial" w:hAnsi="Arial" w:cs="Arial"/>
                <w:sz w:val="20"/>
                <w:szCs w:val="20"/>
              </w:rPr>
              <w:t>Abstentions :</w:t>
            </w:r>
          </w:p>
        </w:tc>
        <w:tc>
          <w:tcPr>
            <w:tcW w:w="1535" w:type="dxa"/>
          </w:tcPr>
          <w:p w:rsidR="001F4E6C" w:rsidRPr="009719AB" w:rsidRDefault="001F4E6C" w:rsidP="00FF4A3B">
            <w:pPr>
              <w:jc w:val="center"/>
              <w:rPr>
                <w:rFonts w:ascii="Arial" w:hAnsi="Arial" w:cs="Arial"/>
                <w:b/>
                <w:sz w:val="20"/>
                <w:szCs w:val="20"/>
              </w:rPr>
            </w:pPr>
            <w:r>
              <w:rPr>
                <w:rFonts w:ascii="Arial" w:hAnsi="Arial" w:cs="Arial"/>
                <w:b/>
                <w:sz w:val="20"/>
                <w:szCs w:val="20"/>
              </w:rPr>
              <w:t>0</w:t>
            </w:r>
          </w:p>
        </w:tc>
      </w:tr>
      <w:tr w:rsidR="001F4E6C" w:rsidRPr="003346E0" w:rsidTr="00FF4A3B">
        <w:tc>
          <w:tcPr>
            <w:tcW w:w="9210" w:type="dxa"/>
            <w:gridSpan w:val="6"/>
          </w:tcPr>
          <w:p w:rsidR="001F4E6C" w:rsidRPr="003346E0" w:rsidRDefault="001F4E6C" w:rsidP="00FF4A3B">
            <w:pPr>
              <w:jc w:val="both"/>
              <w:rPr>
                <w:rFonts w:ascii="Arial" w:hAnsi="Arial" w:cs="Arial"/>
                <w:sz w:val="12"/>
                <w:szCs w:val="12"/>
              </w:rPr>
            </w:pPr>
          </w:p>
        </w:tc>
      </w:tr>
      <w:tr w:rsidR="001F4E6C" w:rsidTr="00FF4A3B">
        <w:tc>
          <w:tcPr>
            <w:tcW w:w="9210" w:type="dxa"/>
            <w:gridSpan w:val="6"/>
          </w:tcPr>
          <w:p w:rsidR="001F4E6C" w:rsidRPr="009719AB" w:rsidRDefault="001F4E6C" w:rsidP="00FF4A3B">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1" w:name="CaseACocher2"/>
            <w:r w:rsidRPr="00C23BEE">
              <w:rPr>
                <w:rFonts w:ascii="Arial" w:hAnsi="Arial" w:cs="Arial"/>
                <w:b/>
                <w:sz w:val="20"/>
                <w:szCs w:val="20"/>
              </w:rPr>
              <w:instrText xml:space="preserve"> FORMCHECKBOX </w:instrText>
            </w:r>
            <w:r w:rsidR="00A15B7C">
              <w:rPr>
                <w:rFonts w:ascii="Arial" w:hAnsi="Arial" w:cs="Arial"/>
                <w:b/>
                <w:sz w:val="20"/>
                <w:szCs w:val="20"/>
              </w:rPr>
            </w:r>
            <w:r w:rsidR="00A15B7C">
              <w:rPr>
                <w:rFonts w:ascii="Arial" w:hAnsi="Arial" w:cs="Arial"/>
                <w:b/>
                <w:sz w:val="20"/>
                <w:szCs w:val="20"/>
              </w:rPr>
              <w:fldChar w:fldCharType="separate"/>
            </w:r>
            <w:r w:rsidRPr="00C23BEE">
              <w:rPr>
                <w:rFonts w:ascii="Arial" w:hAnsi="Arial" w:cs="Arial"/>
                <w:b/>
                <w:sz w:val="20"/>
                <w:szCs w:val="20"/>
              </w:rPr>
              <w:fldChar w:fldCharType="end"/>
            </w:r>
            <w:bookmarkEnd w:id="1"/>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2" w:name="CaseACocher4"/>
            <w:r>
              <w:rPr>
                <w:rFonts w:ascii="Arial" w:hAnsi="Arial" w:cs="Arial"/>
                <w:b/>
                <w:sz w:val="20"/>
                <w:szCs w:val="20"/>
              </w:rPr>
              <w:instrText xml:space="preserve"> FORMCHECKBOX </w:instrText>
            </w:r>
            <w:r w:rsidR="00A15B7C">
              <w:rPr>
                <w:rFonts w:ascii="Arial" w:hAnsi="Arial" w:cs="Arial"/>
                <w:b/>
                <w:sz w:val="20"/>
                <w:szCs w:val="20"/>
              </w:rPr>
            </w:r>
            <w:r w:rsidR="00A15B7C">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3" w:name="CaseACocher3"/>
            <w:r w:rsidRPr="00C23BEE">
              <w:rPr>
                <w:rFonts w:ascii="Arial" w:hAnsi="Arial" w:cs="Arial"/>
                <w:b/>
                <w:sz w:val="20"/>
                <w:szCs w:val="20"/>
              </w:rPr>
              <w:instrText xml:space="preserve"> FORMCHECKBOX </w:instrText>
            </w:r>
            <w:r w:rsidR="00A15B7C">
              <w:rPr>
                <w:rFonts w:ascii="Arial" w:hAnsi="Arial" w:cs="Arial"/>
                <w:b/>
                <w:sz w:val="20"/>
                <w:szCs w:val="20"/>
              </w:rPr>
            </w:r>
            <w:r w:rsidR="00A15B7C">
              <w:rPr>
                <w:rFonts w:ascii="Arial" w:hAnsi="Arial" w:cs="Arial"/>
                <w:b/>
                <w:sz w:val="20"/>
                <w:szCs w:val="20"/>
              </w:rPr>
              <w:fldChar w:fldCharType="separate"/>
            </w:r>
            <w:r w:rsidRPr="00C23BEE">
              <w:rPr>
                <w:rFonts w:ascii="Arial" w:hAnsi="Arial" w:cs="Arial"/>
                <w:b/>
                <w:sz w:val="20"/>
                <w:szCs w:val="20"/>
              </w:rPr>
              <w:fldChar w:fldCharType="end"/>
            </w:r>
            <w:bookmarkEnd w:id="3"/>
            <w:r w:rsidRPr="00C23BEE">
              <w:rPr>
                <w:rFonts w:ascii="Arial" w:hAnsi="Arial" w:cs="Arial"/>
                <w:b/>
                <w:sz w:val="20"/>
                <w:szCs w:val="20"/>
              </w:rPr>
              <w:t xml:space="preserve"> Non adopté</w:t>
            </w:r>
          </w:p>
        </w:tc>
      </w:tr>
    </w:tbl>
    <w:p w:rsidR="001F4E6C" w:rsidRPr="00A7575A" w:rsidRDefault="001F4E6C" w:rsidP="001F4E6C">
      <w:pPr>
        <w:jc w:val="both"/>
        <w:rPr>
          <w:rFonts w:ascii="Arial" w:hAnsi="Arial" w:cs="Arial"/>
          <w:sz w:val="20"/>
          <w:szCs w:val="20"/>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1F4E6C" w:rsidRDefault="00ED0A6C" w:rsidP="00ED0A6C">
      <w:pPr>
        <w:pStyle w:val="Corpsdetexte2"/>
        <w:rPr>
          <w:rFonts w:cs="Arial"/>
          <w:sz w:val="12"/>
          <w:szCs w:val="12"/>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62" w:rsidRDefault="001A1462">
      <w:r>
        <w:separator/>
      </w:r>
    </w:p>
  </w:endnote>
  <w:endnote w:type="continuationSeparator" w:id="0">
    <w:p w:rsidR="001A1462" w:rsidRDefault="001A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62" w:rsidRDefault="001A1462"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rPr>
      <w:fldChar w:fldCharType="begin"/>
    </w:r>
    <w:r>
      <w:rPr>
        <w:b/>
      </w:rPr>
      <w:instrText>PAGE</w:instrText>
    </w:r>
    <w:r>
      <w:rPr>
        <w:b/>
      </w:rPr>
      <w:fldChar w:fldCharType="separate"/>
    </w:r>
    <w:r w:rsidR="00A15B7C">
      <w:rPr>
        <w:b/>
        <w:noProof/>
      </w:rPr>
      <w:t>4</w:t>
    </w:r>
    <w:r>
      <w:rPr>
        <w:b/>
      </w:rPr>
      <w:fldChar w:fldCharType="end"/>
    </w:r>
    <w:r>
      <w:t xml:space="preserve"> sur </w:t>
    </w:r>
    <w:r>
      <w:rPr>
        <w:b/>
      </w:rPr>
      <w:fldChar w:fldCharType="begin"/>
    </w:r>
    <w:r>
      <w:rPr>
        <w:b/>
      </w:rPr>
      <w:instrText>NUMPAGES</w:instrText>
    </w:r>
    <w:r>
      <w:rPr>
        <w:b/>
      </w:rPr>
      <w:fldChar w:fldCharType="separate"/>
    </w:r>
    <w:r w:rsidR="00A15B7C">
      <w:rPr>
        <w:b/>
        <w:noProof/>
      </w:rPr>
      <w:t>4</w:t>
    </w:r>
    <w:r>
      <w:rPr>
        <w:b/>
      </w:rPr>
      <w:fldChar w:fldCharType="end"/>
    </w:r>
  </w:p>
  <w:p w:rsidR="001A1462" w:rsidRDefault="001A14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62" w:rsidRDefault="001A1462">
      <w:r>
        <w:separator/>
      </w:r>
    </w:p>
  </w:footnote>
  <w:footnote w:type="continuationSeparator" w:id="0">
    <w:p w:rsidR="001A1462" w:rsidRDefault="001A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62" w:rsidRPr="00FC7859" w:rsidRDefault="001A1462"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Pr="00FC7859">
      <w:rPr>
        <w:rFonts w:ascii="Arial" w:hAnsi="Arial" w:cs="Arial"/>
        <w:b/>
        <w:sz w:val="32"/>
        <w:szCs w:val="32"/>
      </w:rPr>
      <w:t>D202</w:t>
    </w:r>
    <w:r>
      <w:rPr>
        <w:rFonts w:ascii="Arial" w:hAnsi="Arial" w:cs="Arial"/>
        <w:b/>
        <w:sz w:val="32"/>
        <w:szCs w:val="32"/>
      </w:rPr>
      <w:t>2</w:t>
    </w:r>
    <w:r w:rsidRPr="00FC7859">
      <w:rPr>
        <w:rFonts w:ascii="Arial" w:hAnsi="Arial" w:cs="Arial"/>
        <w:b/>
        <w:sz w:val="32"/>
        <w:szCs w:val="32"/>
      </w:rPr>
      <w:t>-</w:t>
    </w:r>
    <w:r>
      <w:rPr>
        <w:rFonts w:ascii="Arial" w:hAnsi="Arial" w:cs="Arial"/>
        <w:b/>
        <w:sz w:val="32"/>
        <w:szCs w:val="32"/>
      </w:rPr>
      <w:t>2</w:t>
    </w:r>
    <w:r w:rsidRPr="00FC7859">
      <w:rPr>
        <w:rFonts w:ascii="Arial" w:hAnsi="Arial" w:cs="Arial"/>
        <w:b/>
        <w:sz w:val="32"/>
        <w:szCs w:val="32"/>
      </w:rPr>
      <w:t>-</w:t>
    </w:r>
    <w:r>
      <w:rPr>
        <w:rFonts w:ascii="Arial" w:hAnsi="Arial" w:cs="Arial"/>
        <w:b/>
        <w:sz w:val="32"/>
        <w:szCs w:val="32"/>
      </w:rPr>
      <w:t>2-9</w:t>
    </w:r>
  </w:p>
  <w:p w:rsidR="001A1462" w:rsidRPr="002370A4" w:rsidRDefault="001A1462"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9"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920AB"/>
    <w:multiLevelType w:val="hybridMultilevel"/>
    <w:tmpl w:val="03F08754"/>
    <w:lvl w:ilvl="0" w:tplc="31026DEA">
      <w:numFmt w:val="bullet"/>
      <w:lvlText w:val="-"/>
      <w:lvlJc w:val="left"/>
      <w:pPr>
        <w:ind w:left="374" w:hanging="360"/>
      </w:pPr>
      <w:rPr>
        <w:rFonts w:ascii="Arial" w:eastAsia="Calibri" w:hAnsi="Arial" w:cs="Arial"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9"/>
  </w:num>
  <w:num w:numId="6">
    <w:abstractNumId w:val="1"/>
  </w:num>
  <w:num w:numId="7">
    <w:abstractNumId w:val="5"/>
  </w:num>
  <w:num w:numId="8">
    <w:abstractNumId w:val="3"/>
  </w:num>
  <w:num w:numId="9">
    <w:abstractNumId w:val="6"/>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C9"/>
    <w:rsid w:val="00000047"/>
    <w:rsid w:val="00002BC9"/>
    <w:rsid w:val="00005610"/>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65188"/>
    <w:rsid w:val="00176E51"/>
    <w:rsid w:val="00191B6C"/>
    <w:rsid w:val="0019330A"/>
    <w:rsid w:val="001A1462"/>
    <w:rsid w:val="001A4372"/>
    <w:rsid w:val="001B0BDC"/>
    <w:rsid w:val="001C0CCD"/>
    <w:rsid w:val="001D4B6D"/>
    <w:rsid w:val="001F2C04"/>
    <w:rsid w:val="001F349C"/>
    <w:rsid w:val="001F4E6C"/>
    <w:rsid w:val="0020047A"/>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33028"/>
    <w:rsid w:val="00743191"/>
    <w:rsid w:val="00746941"/>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15B7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9412A"/>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E3AC0"/>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D0A6C"/>
    <w:rsid w:val="00EF3FA5"/>
    <w:rsid w:val="00F07718"/>
    <w:rsid w:val="00F207AC"/>
    <w:rsid w:val="00F24B0A"/>
    <w:rsid w:val="00F25616"/>
    <w:rsid w:val="00F464F7"/>
    <w:rsid w:val="00F53A91"/>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51F747"/>
  <w15:docId w15:val="{CE552BAD-0AF9-4EB8-873E-801194A1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B9412A"/>
    <w:rPr>
      <w:rFonts w:ascii="Calibri" w:eastAsia="Calibri" w:hAnsi="Calibri"/>
      <w:sz w:val="22"/>
      <w:szCs w:val="22"/>
      <w:lang w:eastAsia="en-US"/>
    </w:rPr>
  </w:style>
  <w:style w:type="paragraph" w:customStyle="1" w:styleId="ParagrapheIndent2">
    <w:name w:val="ParagrapheIndent2"/>
    <w:basedOn w:val="Normal"/>
    <w:next w:val="Normal"/>
    <w:qFormat/>
    <w:rsid w:val="00B9412A"/>
    <w:rPr>
      <w:rFonts w:ascii="Trebuchet MS" w:eastAsia="Trebuchet MS" w:hAnsi="Trebuchet MS" w:cs="Trebuchet M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2-24%2002%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EDAB7E288F4A44BF514E9574D99940"/>
        <w:category>
          <w:name w:val="Général"/>
          <w:gallery w:val="placeholder"/>
        </w:category>
        <w:types>
          <w:type w:val="bbPlcHdr"/>
        </w:types>
        <w:behaviors>
          <w:behavior w:val="content"/>
        </w:behaviors>
        <w:guid w:val="{9DCD8C52-59B8-49C8-B0D5-6A3B6941634A}"/>
      </w:docPartPr>
      <w:docPartBody>
        <w:p w:rsidR="009F5EC3" w:rsidRDefault="009F5EC3">
          <w:pPr>
            <w:pStyle w:val="74EDAB7E288F4A44BF514E9574D99940"/>
          </w:pPr>
          <w:r w:rsidRPr="00CC3207">
            <w:rPr>
              <w:rStyle w:val="Textedelespacerserv"/>
            </w:rPr>
            <w:t>Choisissez un élément.</w:t>
          </w:r>
        </w:p>
      </w:docPartBody>
    </w:docPart>
    <w:docPart>
      <w:docPartPr>
        <w:name w:val="1676239113F04694BD43477EF83253F5"/>
        <w:category>
          <w:name w:val="Général"/>
          <w:gallery w:val="placeholder"/>
        </w:category>
        <w:types>
          <w:type w:val="bbPlcHdr"/>
        </w:types>
        <w:behaviors>
          <w:behavior w:val="content"/>
        </w:behaviors>
        <w:guid w:val="{796B8117-2AB8-41A3-AABE-2E27BDD98CB8}"/>
      </w:docPartPr>
      <w:docPartBody>
        <w:p w:rsidR="009F5EC3" w:rsidRDefault="009F5EC3">
          <w:pPr>
            <w:pStyle w:val="1676239113F04694BD43477EF83253F5"/>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C3"/>
    <w:rsid w:val="009F5EC3"/>
    <w:rsid w:val="00CC7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74EDAB7E288F4A44BF514E9574D99940">
    <w:name w:val="74EDAB7E288F4A44BF514E9574D99940"/>
  </w:style>
  <w:style w:type="paragraph" w:customStyle="1" w:styleId="1676239113F04694BD43477EF83253F5">
    <w:name w:val="1676239113F04694BD43477EF8325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2.xml><?xml version="1.0" encoding="utf-8"?>
<ds:datastoreItem xmlns:ds="http://schemas.openxmlformats.org/officeDocument/2006/customXml" ds:itemID="{048DA249-E644-424E-A69B-0590F75410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F5F2BF-AB13-4F79-8DB5-9EC54125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216</TotalTime>
  <Pages>4</Pages>
  <Words>1198</Words>
  <Characters>7195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9</cp:revision>
  <cp:lastPrinted>2022-03-02T08:03:00Z</cp:lastPrinted>
  <dcterms:created xsi:type="dcterms:W3CDTF">2022-02-18T15:09:00Z</dcterms:created>
  <dcterms:modified xsi:type="dcterms:W3CDTF">2022-03-02T08:03:00Z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